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Can Facebook be used to increase scientific literacy? A case study of the Monterey Bay Aquarium Research Institute Facebook page and ocean literacy</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Empirical research – Mixed methods</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Discourse analysis; interviews</w:t>
      </w:r>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pStyle w:val="Heading2"/>
      </w:pPr>
      <w:bookmarkStart w:id="9" w:name="_Toc10"/>
      <w:r>
        <w:t>Other Childrens Age Group</w:t>
      </w:r>
      <w:bookmarkEnd w:id="9"/>
    </w:p>
    <w:p>
      <w:pPr/>
      <w:r>
        <w:rPr/>
        <w:t xml:space="preserve">Ages not specied; the participants are members of the global scientific public posting on Facebook where the age limit is 13.</w:t>
      </w:r>
    </w:p>
    <w:p>
      <w:pPr>
        <w:pStyle w:val="Heading2"/>
      </w:pPr>
      <w:bookmarkStart w:id="10" w:name="_Toc11"/>
      <w:r>
        <w:t>Funder</w:t>
      </w:r>
      <w:bookmarkEnd w:id="10"/>
    </w:p>
    <w:p>
      <w:pPr/>
      <w:r>
        <w:rPr/>
        <w:t xml:space="preserve">David and Lucile Packard Foundation; University of Gothenburg; Swedish Research Councils Vetenskapsrådet and Formas</w:t>
      </w:r>
    </w:p>
    <w:p>
      <w:pPr>
        <w:pStyle w:val="Heading2"/>
      </w:pPr>
      <w:bookmarkStart w:id="11" w:name="_Toc12"/>
      <w:r>
        <w:t>Funder Types</w:t>
      </w:r>
      <w:bookmarkEnd w:id="11"/>
    </w:p>
    <w:p>
      <w:pPr>
        <w:numPr>
          <w:ilvl w:val="0"/>
          <w:numId w:val="5"/>
        </w:numPr>
      </w:pPr>
      <w:r>
        <w:rPr/>
        <w:t xml:space="preserve">University</w:t>
      </w:r>
    </w:p>
    <w:p>
      <w:pPr>
        <w:numPr>
          <w:ilvl w:val="0"/>
          <w:numId w:val="5"/>
        </w:numPr>
      </w:pPr>
      <w:r>
        <w:rPr/>
        <w:t xml:space="preserve">National Research Council</w:t>
      </w:r>
    </w:p>
    <w:p>
      <w:pPr>
        <w:numPr>
          <w:ilvl w:val="0"/>
          <w:numId w:val="5"/>
        </w:numPr>
      </w:pPr>
      <w:r>
        <w:rPr/>
        <w:t xml:space="preserve">Foundation</w:t>
      </w:r>
    </w:p>
    <w:p>
      <w:pPr>
        <w:pStyle w:val="Heading2"/>
      </w:pPr>
      <w:bookmarkStart w:id="12" w:name="_Toc13"/>
      <w:r>
        <w:t>Informed Consent</w:t>
      </w:r>
      <w:bookmarkEnd w:id="12"/>
    </w:p>
    <w:p>
      <w:pPr/>
      <w:r>
        <w:rPr/>
        <w:t xml:space="preserve">No consent needed</w:t>
      </w:r>
    </w:p>
    <w:p>
      <w:pPr>
        <w:pStyle w:val="Heading2"/>
      </w:pPr>
      <w:bookmarkStart w:id="13" w:name="_Toc14"/>
      <w:r>
        <w:t>URL</w:t>
      </w:r>
      <w:bookmarkEnd w:id="13"/>
    </w:p>
    <w:p>
      <w:pPr/>
      <w:r>
        <w:rPr/>
        <w:t xml:space="preserve">https://www.sciencedirect.com/science/article/pii/S0360131514002504?via%3Dihub#sec3</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study aims to shed light on the interaction between scientists and the public through SNSs. Knowledge of how these networks work as an arena for interaction, as well as for the development of scientific literacy, is important to guide scientists' activities online, and more profoundly to be able to understand how people develop knowledge of science." (Authors, 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A2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2025-10-18T11:53:26+00:00</dcterms:created>
  <dcterms:modified xsi:type="dcterms:W3CDTF">2025-10-18T11:53:26+00:00</dcterms:modified>
</cp:coreProperties>
</file>

<file path=docProps/custom.xml><?xml version="1.0" encoding="utf-8"?>
<Properties xmlns="http://schemas.openxmlformats.org/officeDocument/2006/custom-properties" xmlns:vt="http://schemas.openxmlformats.org/officeDocument/2006/docPropsVTypes"/>
</file>