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‘Is it okay to use the mobile phone?’ Student use of information technology in pop-band rehearsals in Swedish music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recordings; photographing; field notes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16 years old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The Swedish Research Council (Vetenskapsrådet)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National Research Council</w:t>
      </w:r>
    </w:p>
    <w:p>
      <w:pPr>
        <w:pStyle w:val="Heading2"/>
      </w:pPr>
      <w:bookmarkStart w:id="13" w:name="_Toc14"/>
      <w:r>
        <w:t>Consents</w:t>
      </w:r>
      <w:bookmarkEnd w:id="13"/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https://www-ingentaconnect-com.ezproxy.ub.gu.se/content/intellect/jmte/2015/00000008/00000001/art00006#</w:t>
      </w:r>
    </w:p>
    <w:p>
      <w:pPr>
        <w:pStyle w:val="Heading2"/>
      </w:pPr>
      <w:bookmarkStart w:id="17" w:name="_Toc18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19"/>
      <w:r>
        <w:t>Goals</w:t>
      </w:r>
      <w:bookmarkEnd w:id="18"/>
    </w:p>
    <w:p>
      <w:pPr/>
      <w:r>
        <w:rPr/>
        <w:t xml:space="preserve">"• In what activities and to what extent is IT used during a pop ensemble project in two Swedish music classes?
• How can the relationship between students and IT be understood in this empirical setting?"
(Authors, 73)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2025-10-17T08:59:29+00:00</dcterms:created>
  <dcterms:modified xsi:type="dcterms:W3CDTF">2025-10-17T08:59:29+00:00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