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Resources and Filters - Analysing the Digital Divide in a 1:1 Environment</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Focus group</w:t>
      </w:r>
    </w:p>
    <w:p>
      <w:pPr>
        <w:pStyle w:val="Heading2"/>
      </w:pPr>
      <w:bookmarkStart w:id="7" w:name="_Toc8"/>
      <w:r>
        <w:t>Researched Groups</w:t>
      </w:r>
      <w:bookmarkEnd w:id="7"/>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16-17 years old</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URL</w:t>
      </w:r>
      <w:bookmarkEnd w:id="12"/>
    </w:p>
    <w:p>
      <w:pPr/>
      <w:r>
        <w:rPr/>
        <w:t xml:space="preserve">https://infonomics-society.org/wp-content/uploads/iji/published-papers/volume-8-2015/Resources-and-Filters.pdf</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"Is given equal access to an artefact enough to bridge digital divides which relate to digital competence that entails using technology which has high complexity? What are the conditions when implementing an ICT- rich lesson design in a technology-rich environment?" (Authors, 1000)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708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2025-10-18T13:45:32+00:00</dcterms:created>
  <dcterms:modified xsi:type="dcterms:W3CDTF">2025-10-18T13:45:32+00:00</dcterms:modified>
</cp:coreProperties>
</file>

<file path=docProps/custom.xml><?xml version="1.0" encoding="utf-8"?>
<Properties xmlns="http://schemas.openxmlformats.org/officeDocument/2006/custom-properties" xmlns:vt="http://schemas.openxmlformats.org/officeDocument/2006/docPropsVTypes"/>
</file>