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Physical activity decreased by a quarter in the 11-12 year old Swedish boys between 2000 and 2013 but was stable in girls. A smartphone effect?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Pedometer readings; Anthropometric measurements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8-9 and 11-12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The Swedish Research Council for Environment, Agricultural Sciences and Spatial Planning (FORMAS); the Swedish Heart and Lung Foundation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>
        <w:pStyle w:val="Heading2"/>
      </w:pPr>
      <w:bookmarkStart w:id="13" w:name="_Toc14"/>
      <w:r>
        <w:t>Has Formal Ethical Clearance</w:t>
      </w:r>
      <w:bookmarkEnd w:id="13"/>
    </w:p>
    <w:p>
      <w:pPr>
        <w:pStyle w:val="Heading2"/>
      </w:pPr>
      <w:bookmarkStart w:id="14" w:name="_Toc15"/>
      <w:r>
        <w:t>Consents</w:t>
      </w:r>
      <w:bookmarkEnd w:id="14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5" w:name="_Toc16"/>
      <w:r>
        <w:t>Informed Consent</w:t>
      </w:r>
      <w:bookmarkEnd w:id="15"/>
    </w:p>
    <w:p>
      <w:pPr/>
      <w:r>
        <w:rPr/>
        <w:t xml:space="preserve">Consent obtained</w:t>
      </w:r>
    </w:p>
    <w:p>
      <w:pPr>
        <w:pStyle w:val="Heading2"/>
      </w:pPr>
      <w:bookmarkStart w:id="16" w:name="_Toc17"/>
      <w:r>
        <w:t>Ethics</w:t>
      </w:r>
      <w:bookmarkEnd w:id="16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7" w:name="_Toc18"/>
      <w:r>
        <w:t>URL</w:t>
      </w:r>
      <w:bookmarkEnd w:id="17"/>
    </w:p>
    <w:p>
      <w:pPr/>
      <w:r>
        <w:rPr/>
        <w:t xml:space="preserve">https://onlinelibrary-wiley-com.ezproxy.ub.gu.se/doi/full/10.1111/apa.13027</w:t>
      </w:r>
    </w:p>
    <w:p>
      <w:pPr>
        <w:pStyle w:val="Heading2"/>
      </w:pPr>
      <w:bookmarkStart w:id="18" w:name="_Toc19"/>
      <w:r>
        <w:t>Data Set Availability</w:t>
      </w:r>
      <w:bookmarkEnd w:id="18"/>
    </w:p>
    <w:p>
      <w:pPr/>
      <w:r>
        <w:rPr/>
        <w:t xml:space="preserve">Not mentioned</w:t>
      </w:r>
    </w:p>
    <w:p>
      <w:pPr>
        <w:pStyle w:val="Heading1"/>
      </w:pPr>
      <w:bookmarkStart w:id="19" w:name="_Toc20"/>
      <w:r>
        <w:t>Goals</w:t>
      </w:r>
      <w:bookmarkEnd w:id="19"/>
    </w:p>
    <w:p>
      <w:pPr/>
      <w:r>
        <w:rPr/>
        <w:t xml:space="preserve">"The aim of this study was to explore secular trends from 2000 to 2013 of pedometer-determined physical activity, BMI and the percentage of overweight and obesity in second- and fifth-grade pupils." (Authors, 809)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AB02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2025-10-18T13:39:35+00:00</dcterms:created>
  <dcterms:modified xsi:type="dcterms:W3CDTF">2025-10-18T13:39:35+00:00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