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Datorspelande som estetisk praktik och informellt lärande</w:t>
      </w:r>
    </w:p>
    <w:p>
      <w:pPr>
        <w:pStyle w:val="Title"/>
      </w:pPr>
      <w:r>
        <w:t>Engl. transl.: Computer gaming, aesthetic practices and informal learning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Video recordings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2"/>
      <w:r>
        <w:t>Other Childrens Age Group</w:t>
      </w:r>
      <w:bookmarkEnd w:id="10"/>
    </w:p>
    <w:p>
      <w:pPr/>
      <w:r>
        <w:rPr/>
        <w:t xml:space="preserve">4-8 and 13-17 years old</w:t>
      </w:r>
    </w:p>
    <w:p>
      <w:pPr>
        <w:pStyle w:val="Heading2"/>
      </w:pPr>
      <w:bookmarkStart w:id="11" w:name="_Toc13"/>
      <w:r>
        <w:t>Funder</w:t>
      </w:r>
      <w:bookmarkEnd w:id="11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12" w:name="_Toc14"/>
      <w:r>
        <w:t>Funder Types</w:t>
      </w:r>
      <w:bookmarkEnd w:id="12"/>
    </w:p>
    <w:p>
      <w:pPr/>
      <w:r>
        <w:rPr/>
        <w:t xml:space="preserve">National Research Council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https://www.buv.su.se/forskning/forskningsprojekt/projekt-inom-barn-och-ungdomsvetenskap/datorspelande-som-estetisk-praktik-och-informellt-lärande-1.90962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significance of social interaction and players' own aesthetic valuations for children's gaming activities, with a particular focus on informal learning in both school and after-school contexts and as concerns both educational games and those intended for mere entertainment. This enables a discussion and broadening of the concept of digital literacy from a critical perspective. (https://www.buv.su.se/forskning/forskningsprojekt/projekt-inom-barn-och-ungdomsvetenskap/datorspelande-som-estetisk-praktik-och-informellt-lärande-1.90962; condensed and trans. by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2025-11-09T07:49:54+00:00</dcterms:created>
  <dcterms:modified xsi:type="dcterms:W3CDTF">2025-11-09T07:49:54+00:00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