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Webcam Child Prostitution: An Exploration of Current and Futuristic Methods of Detection</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Other</w:t>
      </w:r>
    </w:p>
    <w:p>
      <w:pPr>
        <w:pStyle w:val="Heading2"/>
      </w:pPr>
      <w:bookmarkStart w:id="4" w:name="_Toc5"/>
      <w:r>
        <w:t>Type</w:t>
      </w:r>
      <w:bookmarkEnd w:id="4"/>
    </w:p>
    <w:p>
      <w:pPr/>
      <w:r>
        <w:rPr/>
        <w:t xml:space="preserve">Other</w:t>
      </w:r>
    </w:p>
    <w:p>
      <w:pPr>
        <w:pStyle w:val="Heading2"/>
      </w:pPr>
      <w:bookmarkStart w:id="5" w:name="_Toc6"/>
      <w:r>
        <w:t>Methodologies</w:t>
      </w:r>
      <w:bookmarkEnd w:id="5"/>
    </w:p>
    <w:p>
      <w:pPr/>
      <w:r>
        <w:rPr/>
        <w:t xml:space="preserve">Other</w:t>
      </w:r>
    </w:p>
    <w:p>
      <w:pPr>
        <w:pStyle w:val="Heading2"/>
      </w:pPr>
      <w:bookmarkStart w:id="6" w:name="_Toc7"/>
      <w:r>
        <w:t>Other Methodology</w:t>
      </w:r>
      <w:bookmarkEnd w:id="6"/>
    </w:p>
    <w:p>
      <w:pPr/>
      <w:r>
        <w:rPr/>
        <w:t xml:space="preserve">Evaluation of practical and policy challenges faced by practitioners</w:t>
      </w:r>
    </w:p>
    <w:p>
      <w:pPr>
        <w:pStyle w:val="Heading2"/>
      </w:pPr>
      <w:bookmarkStart w:id="7" w:name="_Toc8"/>
      <w:r>
        <w:t>Researched Groups</w:t>
      </w:r>
      <w:bookmarkEnd w:id="7"/>
    </w:p>
    <w:p>
      <w:pPr/>
      <w:r>
        <w:rPr/>
        <w:t xml:space="preserve">Policymakers and regulators</w:t>
      </w:r>
    </w:p>
    <w:p>
      <w:pPr>
        <w:pStyle w:val="Heading2"/>
      </w:pPr>
      <w:bookmarkStart w:id="8" w:name="_Toc9"/>
      <w:r>
        <w:t>Children Ages</w:t>
      </w:r>
      <w:bookmarkEnd w:id="8"/>
    </w:p>
    <w:p>
      <w:pPr/>
      <w:r>
        <w:rPr/>
        <w:t xml:space="preserve">All (0-18 years old)</w:t>
      </w:r>
    </w:p>
    <w:p>
      <w:pPr>
        <w:pStyle w:val="Heading2"/>
      </w:pPr>
      <w:bookmarkStart w:id="9" w:name="_Toc10"/>
      <w:r>
        <w:t>Has Formal Ethical Clearance</w:t>
      </w:r>
      <w:bookmarkEnd w:id="9"/>
    </w:p>
    <w:p>
      <w:pPr>
        <w:pStyle w:val="Heading2"/>
      </w:pPr>
      <w:bookmarkStart w:id="10" w:name="_Toc11"/>
      <w:r>
        <w:t>Informed Consent</w:t>
      </w:r>
      <w:bookmarkEnd w:id="10"/>
    </w:p>
    <w:p>
      <w:pPr/>
      <w:r>
        <w:rPr/>
        <w:t xml:space="preserve">No consent needed</w:t>
      </w:r>
    </w:p>
    <w:p>
      <w:pPr>
        <w:pStyle w:val="Heading2"/>
      </w:pPr>
      <w:bookmarkStart w:id="11" w:name="_Toc12"/>
      <w:r>
        <w:t>Ethics</w:t>
      </w:r>
      <w:bookmarkEnd w:id="11"/>
    </w:p>
    <w:p>
      <w:pPr/>
      <w:r>
        <w:rPr/>
        <w:t xml:space="preserve">Ethical issues flagged in the paper</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"This article largely ignores socio-psychological aspects while it puts the focus on the detection, interception and disruption of WCP. The author will analyze and discuss the current and futuristic methods of detection for WCP. In doing so, the main aim of the article is to start a technical and legal debate which hopefully leads to new or better practical solutions and also encourage further research on this matter." (Açar, 2017, pp.99-100)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2025-11-03T21:27:09+00:00</dcterms:created>
  <dcterms:modified xsi:type="dcterms:W3CDTF">2025-11-03T21:27:09+00:00</dcterms:modified>
</cp:coreProperties>
</file>

<file path=docProps/custom.xml><?xml version="1.0" encoding="utf-8"?>
<Properties xmlns="http://schemas.openxmlformats.org/officeDocument/2006/custom-properties" xmlns:vt="http://schemas.openxmlformats.org/officeDocument/2006/docPropsVTypes"/>
</file>