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Delinquência e Criminalidade Juvenis na Justiça Juvenil e Penal em Portugal</w:t></w:r></w:p><w:p><w:pPr><w:pStyle w:val="Title"/></w:pPr><w:r><w:t>Engl. transl.: Youth Offending in the Juvenile and Criminal Justice Systems in Portugal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2020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Portugal</w:t></w:r></w:p><w:p><w:pPr><w:pStyle w:val="Heading2"/></w:pPr><w:bookmarkStart w:id="5" w:name="_Toc7"/><w:r><w:t>Type</w:t></w:r><w:bookmarkEnd w:id="5"/></w:p><w:p><w:pPr/><w:r><w:rPr/><w:t xml:space="preserve">Empirical research – Mixed methods</w:t></w:r></w:p><w:p><w:pPr><w:pStyle w:val="Heading2"/></w:pPr><w:bookmarkStart w:id="6" w:name="_Toc8"/><w:r><w:t>Methodologies</w:t></w:r><w:bookmarkEnd w:id="6"/></w:p><w:p><w:pPr><w:pStyle w:val="Heading2"/></w:pPr><w:bookmarkStart w:id="7" w:name="_Toc9"/><w:r><w:t>Researched Groups</w:t></w:r><w:bookmarkEnd w:id="7"/></w:p><w:p><w:pPr><w:pStyle w:val="Heading2"/></w:pPr><w:bookmarkStart w:id="8" w:name="_Toc10"/><w:r><w:t>Children Ages</w:t></w:r><w:bookmarkEnd w:id="8"/></w:p><w:p><w:pPr><w:numPr><w:ilvl w:val="0"/><w:numId w:val="5"/></w:numPr></w:pPr><w:r><w:rPr/><w:t xml:space="preserve">Pre-adolescents (11-13 Years old)</w:t></w:r></w:p><w:p><w:pPr><w:numPr><w:ilvl w:val="0"/><w:numId w:val="5"/></w:numPr></w:pPr><w:r><w:rPr/><w:t xml:space="preserve">Adolescents (14-18 Years old)</w:t></w:r></w:p><w:p><w:pPr><w:numPr><w:ilvl w:val="0"/><w:numId w:val="5"/></w:numPr></w:pPr><w:r><w:rPr/><w:t xml:space="preserve">Young adults (19-24 Years old)</w:t></w:r></w:p><w:p><w:pPr><w:pStyle w:val="Heading2"/></w:pPr><w:bookmarkStart w:id="9" w:name="_Toc11"/><w:r><w:t>Funder</w:t></w:r><w:bookmarkEnd w:id="9"/></w:p><w:p><w:pPr/><w:r><w:rPr/><w:t xml:space="preserve">Foundation for Science and Technology</w:t></w:r></w:p><w:p><w:pPr><w:pStyle w:val="Heading2"/></w:pPr><w:bookmarkStart w:id="10" w:name="_Toc12"/><w:r><w:t>Funder Types</w:t></w:r><w:bookmarkEnd w:id="10"/></w:p><w:p><w:pPr><w:pStyle w:val="Heading2"/></w:pPr><w:bookmarkStart w:id="11" w:name="_Toc13"/><w:r><w:t>Other Funder Type</w:t></w:r><w:bookmarkEnd w:id="11"/></w:p><w:p><w:pPr/><w:r><w:rPr/><w:t xml:space="preserve">Post-PhD scholarship</w:t></w:r></w:p><w:p><w:pPr><w:pStyle w:val="Heading2"/></w:pPr><w:bookmarkStart w:id="12" w:name="_Toc14"/><w:r><w:t>Has Formal Ethical Clearance</w:t></w:r><w:bookmarkEnd w:id="12"/></w:p><w:p><w:pPr><w:pStyle w:val="Heading2"/></w:pPr><w:bookmarkStart w:id="13" w:name="_Toc15"/><w:r><w:t>Informed Consent</w:t></w:r><w:bookmarkEnd w:id="13"/></w:p><w:p><w:pPr/><w:r><w:rPr/><w:t xml:space="preserve">No consent needed</w:t></w:r></w:p><w:p><w:pPr><w:pStyle w:val="Heading2"/></w:pPr><w:bookmarkStart w:id="14" w:name="_Toc16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7"/><w:r><w:t>Data Set Availability</w:t></w:r><w:bookmarkEnd w:id="15"/></w:p><w:p><w:pPr/><w:r><w:rPr/><w:t xml:space="preserve">Not mentioned</w:t></w:r></w:p><w:p><w:pPr><w:pStyle w:val="Heading1"/></w:pPr><w:bookmarkStart w:id="16" w:name="_Toc18"/><w:r><w:t>Goals</w:t></w:r><w:bookmarkEnd w:id="16"/></w:p><w:p><w:pPr/><w:r><w:rPr/><w:t xml:space="preserve">How does juvenile offending (12–15 years) differ from young adult offending (16–21 years) in the juvenile and criminal justice systems in Portugal? This is the major question YO&JUST addresses involving a comprehensive analysis on youth [online and offline] offending in relation to the nature and extension of Law enforcement. Based on a case study grounded in a multi-method approach, the study articulates two main objectives: 1) to characterize and discuss the youth offending patterns and offender’s trajectories recorded in judicial proceedings from Juvenile and Criminal Courts in Lisbon area; 2) to analyse how the Portuguese Juvenile and Young Adult’s Criminal Laws were enforced by exploring the Court’s decision-making processes at the prosecuting or sentencing stage.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0A7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2025-10-26T22:12:59+00:00</dcterms:created>
  <dcterms:modified xsi:type="dcterms:W3CDTF">2025-10-26T22:12:59+00:00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