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Regression From Game-Oriented to Traditional School</w:t>
      </w:r>
    </w:p>
    <w:p>
      <w:pPr>
        <w:pStyle w:val="Heading1"/>
      </w:pPr>
      <w:bookmarkStart w:id="1" w:name="_Toc2"/>
      <w:r>
        <w:t>Details</w:t>
      </w:r>
      <w:bookmarkEnd w:id="1"/>
    </w:p>
    <w:p>
      <w:pPr>
        <w:pStyle w:val="Heading2"/>
      </w:pPr>
      <w:bookmarkStart w:id="2" w:name="_Toc3"/>
      <w:r>
        <w:t>Year</w:t>
      </w:r>
      <w:bookmarkEnd w:id="2"/>
    </w:p>
    <w:p>
      <w:pPr/>
      <w:r>
        <w:rPr/>
        <w:t xml:space="preserve">2013</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r>
        <w:rPr/>
        <w:t xml:space="preserve">Ethnography / participant observation</w:t>
      </w:r>
    </w:p>
    <w:p>
      <w:pPr>
        <w:pStyle w:val="Heading2"/>
      </w:pPr>
      <w:bookmarkStart w:id="7" w:name="_Toc8"/>
      <w:r>
        <w:t>Researched Groups</w:t>
      </w:r>
      <w:bookmarkEnd w:id="7"/>
    </w:p>
    <w:p>
      <w:pPr/>
      <w:r>
        <w:rPr/>
        <w:t xml:space="preserve">Children</w:t>
      </w:r>
    </w:p>
    <w:p>
      <w:pPr>
        <w:pStyle w:val="Heading2"/>
      </w:pPr>
      <w:bookmarkStart w:id="8" w:name="_Toc9"/>
      <w:r>
        <w:t>Consents</w:t>
      </w:r>
      <w:bookmarkEnd w:id="8"/>
    </w:p>
    <w:p>
      <w:pPr/>
      <w:r>
        <w:rPr/>
        <w:t xml:space="preserve">Consent obtained from children</w:t>
      </w:r>
    </w:p>
    <w:p>
      <w:pPr>
        <w:pStyle w:val="Heading2"/>
      </w:pPr>
      <w:bookmarkStart w:id="9" w:name="_Toc10"/>
      <w:r>
        <w:t>Informed Consent</w:t>
      </w:r>
      <w:bookmarkEnd w:id="9"/>
    </w:p>
    <w:p>
      <w:pPr/>
      <w:r>
        <w:rPr/>
        <w:t xml:space="preserve">Consent obtained</w:t>
      </w:r>
    </w:p>
    <w:p>
      <w:pPr>
        <w:pStyle w:val="Heading2"/>
      </w:pPr>
      <w:bookmarkStart w:id="10" w:name="_Toc11"/>
      <w:r>
        <w:t>Ethics</w:t>
      </w:r>
      <w:bookmarkEnd w:id="10"/>
    </w:p>
    <w:p>
      <w:pPr/>
      <w:r>
        <w:rPr/>
        <w:t xml:space="preserve">Ethical considerations and/or protocol mentioned in the research design</w:t>
      </w:r>
    </w:p>
    <w:p>
      <w:pPr>
        <w:pStyle w:val="Heading2"/>
      </w:pPr>
      <w:bookmarkStart w:id="11" w:name="_Toc12"/>
      <w:r>
        <w:t>URL</w:t>
      </w:r>
      <w:bookmarkEnd w:id="11"/>
    </w:p>
    <w:p>
      <w:pPr/>
      <w:r>
        <w:rPr/>
        <w:t xml:space="preserve">https://journals-sagepub-com.ezproxy.ub.gu.se/doi/full/10.1177/0047239515588162</w:t>
      </w:r>
    </w:p>
    <w:p>
      <w:pPr>
        <w:pStyle w:val="Heading2"/>
      </w:pPr>
      <w:bookmarkStart w:id="12" w:name="_Toc13"/>
      <w:r>
        <w:t>Data Set Availability</w:t>
      </w:r>
      <w:bookmarkEnd w:id="12"/>
    </w:p>
    <w:p>
      <w:pPr/>
      <w:r>
        <w:rPr/>
        <w:t xml:space="preserve">Not mentioned</w:t>
      </w:r>
    </w:p>
    <w:p>
      <w:pPr>
        <w:pStyle w:val="Heading1"/>
      </w:pPr>
      <w:bookmarkStart w:id="13" w:name="_Toc14"/>
      <w:r>
        <w:t>Goals</w:t>
      </w:r>
      <w:bookmarkEnd w:id="13"/>
    </w:p>
    <w:p>
      <w:pPr/>
      <w:r>
        <w:rPr/>
        <w:t xml:space="preserve">"The problem was that all but three of the pupils had more or less given up on traditional school before attending the DR, which all pupils strongly appreciated. As pupils' dropout and failure rates are high in Sweden (Klefbom et al., 2012), this problem is central in designing formal education related to the digital culture where many pupils live today. Two questions are investigated here: How did the pupils act upon the consequences of the regression, transforming game-oriented formal education into traditional school? How can these acts inform design of education in digital culture?" (Authors, 352)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2025-10-20T12:23:45+00:00</dcterms:created>
  <dcterms:modified xsi:type="dcterms:W3CDTF">2025-10-20T12:23:45+00:00</dcterms:modified>
</cp:coreProperties>
</file>

<file path=docProps/custom.xml><?xml version="1.0" encoding="utf-8"?>
<Properties xmlns="http://schemas.openxmlformats.org/officeDocument/2006/custom-properties" xmlns:vt="http://schemas.openxmlformats.org/officeDocument/2006/docPropsVTypes"/>
</file>