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Subjective Well-Being of Adolescents in Luxembourg, Germany, and Brazil During the COVID-19 Pandemic</w:t>
      </w:r>
    </w:p>
    <w:p>
      <w:pPr>
        <w:pStyle w:val="Heading1"/>
      </w:pPr>
      <w:bookmarkStart w:id="1" w:name="_Toc2"/>
      <w:r>
        <w:t>Details</w:t>
      </w:r>
      <w:bookmarkEnd w:id="1"/>
    </w:p>
    <w:p>
      <w:pPr>
        <w:pStyle w:val="Heading2"/>
      </w:pPr>
      <w:bookmarkStart w:id="2" w:name="_Toc3"/>
      <w:r>
        <w:t>Year</w:t>
      </w:r>
      <w:bookmarkEnd w:id="2"/>
    </w:p>
    <w:p>
      <w:pPr/>
      <w:r>
        <w:rPr/>
        <w:t xml:space="preserve">2020</w:t>
      </w:r>
    </w:p>
    <w:p>
      <w:pPr>
        <w:pStyle w:val="Heading2"/>
      </w:pPr>
      <w:bookmarkStart w:id="3" w:name="_Toc4"/>
      <w:r>
        <w:t>Scope</w:t>
      </w:r>
      <w:bookmarkEnd w:id="3"/>
    </w:p>
    <w:p>
      <w:pPr/>
      <w:r>
        <w:rPr/>
        <w:t xml:space="preserve">Multinational</w:t>
      </w:r>
    </w:p>
    <w:p>
      <w:pPr>
        <w:pStyle w:val="Heading2"/>
      </w:pPr>
      <w:bookmarkStart w:id="4" w:name="_Toc5"/>
      <w:r>
        <w:t>Countries</w:t>
      </w:r>
      <w:bookmarkEnd w:id="4"/>
    </w:p>
    <w:p>
      <w:pPr>
        <w:pStyle w:val="Heading2"/>
      </w:pPr>
      <w:bookmarkStart w:id="5" w:name="_Toc6"/>
      <w:r>
        <w:t>Type</w:t>
      </w:r>
      <w:bookmarkEnd w:id="5"/>
    </w:p>
    <w:p>
      <w:pPr/>
      <w:r>
        <w:rPr/>
        <w:t xml:space="preserve">Empirical research – Quantitative</w:t>
      </w:r>
    </w:p>
    <w:p>
      <w:pPr>
        <w:pStyle w:val="Heading2"/>
      </w:pPr>
      <w:bookmarkStart w:id="6" w:name="_Toc7"/>
      <w:r>
        <w:t>Methodologies</w:t>
      </w:r>
      <w:bookmarkEnd w:id="6"/>
    </w:p>
    <w:p>
      <w:pPr/>
      <w:r>
        <w:rPr/>
        <w:t xml:space="preserve">Survey</w:t>
      </w:r>
    </w:p>
    <w:p>
      <w:pPr>
        <w:pStyle w:val="Heading2"/>
      </w:pPr>
      <w:bookmarkStart w:id="7" w:name="_Toc8"/>
      <w:r>
        <w:t>Researched Groups</w:t>
      </w:r>
      <w:bookmarkEnd w:id="7"/>
    </w:p>
    <w:p>
      <w:pPr/>
      <w:r>
        <w:rPr/>
        <w:t xml:space="preserve">Children</w:t>
      </w:r>
    </w:p>
    <w:p>
      <w:pPr>
        <w:pStyle w:val="Heading2"/>
      </w:pPr>
      <w:bookmarkStart w:id="8" w:name="_Toc9"/>
      <w:r>
        <w:t>Children Ages</w:t>
      </w:r>
      <w:bookmarkEnd w:id="8"/>
    </w:p>
    <w:p>
      <w:pPr>
        <w:numPr>
          <w:ilvl w:val="0"/>
          <w:numId w:val="5"/>
        </w:numPr>
      </w:pPr>
      <w:r>
        <w:rPr/>
        <w:t xml:space="preserve">Pre-adolescents (11-13 Years old)</w:t>
      </w:r>
    </w:p>
    <w:p>
      <w:pPr>
        <w:numPr>
          <w:ilvl w:val="0"/>
          <w:numId w:val="5"/>
        </w:numPr>
      </w:pPr>
      <w:r>
        <w:rPr/>
        <w:t xml:space="preserve">Adolescents (14-18 Years old)</w:t>
      </w:r>
    </w:p>
    <w:p>
      <w:pPr>
        <w:numPr>
          <w:ilvl w:val="0"/>
          <w:numId w:val="5"/>
        </w:numPr>
      </w:pPr>
      <w:r>
        <w:rPr/>
        <w:t xml:space="preserve">Kids (6-10 Years old)</w:t>
      </w:r>
    </w:p>
    <w:p>
      <w:pPr>
        <w:pStyle w:val="Heading2"/>
      </w:pPr>
      <w:bookmarkStart w:id="9" w:name="_Toc10"/>
      <w:r>
        <w:t>Has Formal Ethical Clearance</w:t>
      </w:r>
      <w:bookmarkEnd w:id="9"/>
    </w:p>
    <w:p>
      <w:pPr>
        <w:pStyle w:val="Heading2"/>
      </w:pPr>
      <w:bookmarkStart w:id="10" w:name="_Toc11"/>
      <w:r>
        <w:t>Consents</w:t>
      </w:r>
      <w:bookmarkEnd w:id="10"/>
    </w:p>
    <w:p>
      <w:pPr>
        <w:pStyle w:val="Heading2"/>
      </w:pPr>
      <w:bookmarkStart w:id="11" w:name="_Toc12"/>
      <w:r>
        <w:t>Ethics</w:t>
      </w:r>
      <w:bookmarkEnd w:id="11"/>
    </w:p>
    <w:p>
      <w:pPr/>
      <w:r>
        <w:rPr/>
        <w:t xml:space="preserve">Ethical considerations and/or protocol mentioned in the research design</w:t>
      </w:r>
    </w:p>
    <w:p>
      <w:pPr>
        <w:pStyle w:val="Heading2"/>
      </w:pPr>
      <w:bookmarkStart w:id="12" w:name="_Toc13"/>
      <w:r>
        <w:t>Data Set Availability</w:t>
      </w:r>
      <w:bookmarkEnd w:id="12"/>
    </w:p>
    <w:p>
      <w:pPr/>
      <w:r>
        <w:rPr/>
        <w:t xml:space="preserve">Not mentioned</w:t>
      </w:r>
    </w:p>
    <w:p>
      <w:pPr>
        <w:pStyle w:val="Heading1"/>
      </w:pPr>
      <w:bookmarkStart w:id="13" w:name="_Toc14"/>
      <w:r>
        <w:t>Goals</w:t>
      </w:r>
      <w:bookmarkEnd w:id="13"/>
    </w:p>
    <w:p>
      <w:pPr/>
      <w:r>
        <w:rPr/>
        <w:t xml:space="preserve">"This study explores adolescent well-being during the first wave of the COVID-19
pandemic in two high-income countries from Europe and one middle-income country from
South America. The aim is to investigate the correlates of different dimensions of subjective wellbeing
in 10- to 16-year-olds from different cultural contexts."
(Pascale M. J. Engel de Abreu, Ph.D., Sascha Neumann, Ph.D., Cyril Wealer, Ph.D., Neander Abreu, Ph.D., Elizeu Coutinho Macedo, Ph.D., and Claudine Kirsch, Ph.D., 2021, page 1)</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60E591E0"/>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2025-04-07T15:16:04+00:00</dcterms:created>
  <dcterms:modified xsi:type="dcterms:W3CDTF">2025-04-07T15:16:04+00:00</dcterms:modified>
</cp:coreProperties>
</file>

<file path=docProps/custom.xml><?xml version="1.0" encoding="utf-8"?>
<Properties xmlns="http://schemas.openxmlformats.org/officeDocument/2006/custom-properties" xmlns:vt="http://schemas.openxmlformats.org/officeDocument/2006/docPropsVTypes"/>
</file>