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Jung und vernetzt</w:t>
      </w:r>
    </w:p>
    <w:p>
      <w:pPr>
        <w:pStyle w:val="Title"/>
      </w:pPr>
      <w:r>
        <w:t>Engl. transl.: Young and connected</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Funder</w:t>
      </w:r>
      <w:bookmarkEnd w:id="9"/>
    </w:p>
    <w:p>
      <w:pPr/>
      <w:r>
        <w:rPr/>
        <w:t xml:space="preserve">BITKOM – Bundesverband Informationswirtschaft, Telekommunikation und neue Medien e. V.</w:t>
      </w:r>
    </w:p>
    <w:p>
      <w:pPr>
        <w:pStyle w:val="Heading2"/>
      </w:pPr>
      <w:bookmarkStart w:id="10" w:name="_Toc12"/>
      <w:r>
        <w:t>Funder Types</w:t>
      </w:r>
      <w:bookmarkEnd w:id="10"/>
    </w:p>
    <w:p>
      <w:pPr/>
      <w:r>
        <w:rPr/>
        <w:t xml:space="preserve">Foundation</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https://www.bitkom.org/Presse/Presseinformation/Studie-zu-Kindern-und-Jugendlichen-in-der-digitalen-Welt.html</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"The comprehensive survey focuses, among other things, on the use and ownership of smartphones, computers or tablets, media use with a focus on digital games and the communication behaviour of children and adolescents. Negative experiences (cyberbullying) were also taken into account as well as the role of parents in dealing with digital media." (BITKOM 2015)
(URL: https://www.bitkom.org/Presse/Presseinformation/Studie-zu-Kindern-und-Jugendlichen-in-der-digitalen-Welt.html)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80AF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2025-11-20T11:57:44+00:00</dcterms:created>
  <dcterms:modified xsi:type="dcterms:W3CDTF">2025-11-20T11:57:44+00:00</dcterms:modified>
</cp:coreProperties>
</file>

<file path=docProps/custom.xml><?xml version="1.0" encoding="utf-8"?>
<Properties xmlns="http://schemas.openxmlformats.org/officeDocument/2006/custom-properties" xmlns:vt="http://schemas.openxmlformats.org/officeDocument/2006/docPropsVTypes"/>
</file>