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VUB-IWT study on the impact of sleep behavior on sleep/wake patterns and daytime functioning</w:t>
      </w:r>
    </w:p>
    <w:p>
      <w:pPr>
        <w:pStyle w:val="Title"/>
      </w:pPr>
      <w:r>
        <w:t>Engl. transl.: VUB-IWT study on the impact of sleep behavior on sleep/wake patterns and daytime functioning.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2013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Belgium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10"/>
      <w:r>
        <w:t>Children Ages</w:t>
      </w:r>
      <w:bookmarkEnd w:id="8"/>
    </w:p>
    <w:p>
      <w:pPr>
        <w:pStyle w:val="Heading2"/>
      </w:pPr>
      <w:bookmarkStart w:id="9" w:name="_Toc11"/>
      <w:r>
        <w:t>Funder</w:t>
      </w:r>
      <w:bookmarkEnd w:id="9"/>
    </w:p>
    <w:p>
      <w:pPr/>
      <w:r>
        <w:rPr/>
        <w:t xml:space="preserve">VUB/IWT</w:t>
      </w:r>
    </w:p>
    <w:p>
      <w:pPr>
        <w:pStyle w:val="Heading2"/>
      </w:pPr>
      <w:bookmarkStart w:id="10" w:name="_Toc12"/>
      <w:r>
        <w:t>Funder Types</w:t>
      </w:r>
      <w:bookmarkEnd w:id="10"/>
    </w:p>
    <w:p>
      <w:pPr>
        <w:pStyle w:val="Heading2"/>
      </w:pPr>
      <w:bookmarkStart w:id="11" w:name="_Toc13"/>
      <w:r>
        <w:t>Has Formal Ethical Clearance</w:t>
      </w:r>
      <w:bookmarkEnd w:id="11"/>
    </w:p>
    <w:p>
      <w:pPr>
        <w:pStyle w:val="Heading1"/>
      </w:pPr>
      <w:bookmarkStart w:id="12" w:name="_Toc14"/>
      <w:r>
        <w:t>Goals</w:t>
      </w:r>
      <w:bookmarkEnd w:id="12"/>
    </w:p>
    <w:p>
      <w:pPr/>
      <w:r>
        <w:rPr/>
        <w:t xml:space="preserve">The aim of this cross-sectional study was to investigate the influence of media use in the hour before bedtime on sleep/wake patterns and daytime functioning among adolescents and to examine the moderating role of parental control.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29 Apr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2024-04-29T14:57:59+00:00</dcterms:created>
  <dcterms:modified xsi:type="dcterms:W3CDTF">2024-04-29T14:57:59+00:00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