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VUB-IWT study on the impact of sleep behavior on sleep/wake patterns and daytime functioning</w:t>
      </w:r>
    </w:p>
    <w:p>
      <w:pPr>
        <w:pStyle w:val="Title"/>
      </w:pPr>
      <w:r>
        <w:t>Engl. transl.: VUB-IWT study on the impact of sleep behavior on sleep/wake patterns and daytime functioning.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VUB/IWT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aim of this cross-sectional study was to investigate the influence of media use in the hour before bedtime on sleep/wake patterns and daytime functioning among adolescents and to examine the moderating role of parental control.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2025-11-22T11:09:30+00:00</dcterms:created>
  <dcterms:modified xsi:type="dcterms:W3CDTF">2025-11-22T11:09:30+00:00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