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KUL New Media Study</w:t>
      </w:r>
    </w:p>
    <w:p>
      <w:pPr>
        <w:pStyle w:val="Title"/>
      </w:pPr>
      <w:r>
        <w:t>Engl. transl.: KUL New Media Study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KUL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/>
      <w:r>
        <w:rPr/>
        <w:t xml:space="preserve">Consent obtained from parents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The New Media Study at KUL investigates digital media use of adolescents.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2025-10-18T01:59:00+00:00</dcterms:created>
  <dcterms:modified xsi:type="dcterms:W3CDTF">2025-10-18T01:59:00+00:00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