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Etude quantitative et qualitative relative à problématique de la violence dans les relations amoureuses, la consommation de la pornographie et des cyberviolences à caractère sexiste et sexuel chez les jeunes (12-21 ans)</w:t>
      </w:r>
    </w:p>
    <w:p>
      <w:pPr>
        <w:pStyle w:val="Title"/>
      </w:pPr>
      <w:r>
        <w:t>Engl. transl.: Quantitraive and qualitaive study on cyberviolence, pornography and romantic relationships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Fédération Wallonie-Bruxelles</w:t>
      </w:r>
    </w:p>
    <w:p>
      <w:pPr>
        <w:pStyle w:val="Heading2"/>
      </w:pPr>
      <w:bookmarkStart w:id="10" w:name="_Toc12"/>
      <w:r>
        <w:t>Funder Types</w:t>
      </w:r>
      <w:bookmarkEnd w:id="10"/>
    </w:p>
    <w:p>
      <w:pPr/>
      <w:r>
        <w:rPr/>
        <w:t xml:space="preserve">Regional Government</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1"/>
      </w:pPr>
      <w:bookmarkStart w:id="14" w:name="_Toc16"/>
      <w:r>
        <w:t>Goals</w:t>
      </w:r>
      <w:bookmarkEnd w:id="14"/>
    </w:p>
    <w:p>
      <w:pPr/>
      <w:r>
        <w:rPr/>
        <w:t xml:space="preserve">The research project aims to assess, using a mixed approach - quantitative and qualitative - the extent of violence in romantic relationships, consumption of pornography and sexist and sexual cyber-violence among young people aged 12 to 21 years old, in terms of victimization and perpetration of these behaviors by adolescents and young adults, as well as the dynamics between these different experiences and their impacts.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2025-10-18T01:59:00+00:00</dcterms:created>
  <dcterms:modified xsi:type="dcterms:W3CDTF">2025-10-18T01:59:00+00:00</dcterms:modified>
</cp:coreProperties>
</file>

<file path=docProps/custom.xml><?xml version="1.0" encoding="utf-8"?>
<Properties xmlns="http://schemas.openxmlformats.org/officeDocument/2006/custom-properties" xmlns:vt="http://schemas.openxmlformats.org/officeDocument/2006/docPropsVTypes"/>
</file>