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Early gambling behavior</w:t>
      </w:r>
    </w:p>
    <w:p>
      <w:pPr>
        <w:pStyle w:val="Title"/>
      </w:pPr>
      <w:r>
        <w:t>Engl. transl.: Early gambling behavior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KULeuven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This study focuses on early gambling practices in online games via surveys administered among primary school children and their parents.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2025-10-18T02:01:51+00:00</dcterms:created>
  <dcterms:modified xsi:type="dcterms:W3CDTF">2025-10-18T02:01:51+00:00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