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Cyberrelationeel geweld bij adolescenten: Op zoek naar de sociale, relationele en individuele antecedenten</w:t>
      </w:r>
    </w:p>
    <w:p>
      <w:pPr>
        <w:pStyle w:val="Title"/>
      </w:pPr>
      <w:r>
        <w:t>Engl. transl.: Cyber dating abuse among adolescents: Unraveling its social, relational and individual antecedents</w:t>
      </w:r>
    </w:p>
    <w:p>
      <w:pPr>
        <w:pStyle w:val="Heading1"/>
      </w:pPr>
      <w:bookmarkStart w:id="1" w:name="_Toc3"/>
      <w:r>
        <w:t>Details</w:t>
      </w:r>
      <w:bookmarkEnd w:id="1"/>
    </w:p>
    <w:p>
      <w:pPr>
        <w:pStyle w:val="Heading2"/>
      </w:pPr>
      <w:bookmarkStart w:id="2" w:name="_Toc4"/>
      <w:r>
        <w:t>Year</w:t>
      </w:r>
      <w:bookmarkEnd w:id="2"/>
    </w:p>
    <w:p>
      <w:pPr/>
      <w:r>
        <w:rPr/>
        <w:t xml:space="preserve">2015</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Belgium</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FWO</w:t>
      </w:r>
    </w:p>
    <w:p>
      <w:pPr>
        <w:pStyle w:val="Heading2"/>
      </w:pPr>
      <w:bookmarkStart w:id="10" w:name="_Toc12"/>
      <w:r>
        <w:t>Funder Types</w:t>
      </w:r>
      <w:bookmarkEnd w:id="10"/>
    </w:p>
    <w:p>
      <w:pPr/>
      <w:r>
        <w:rPr/>
        <w:t xml:space="preserve">Regional Government</w:t>
      </w:r>
    </w:p>
    <w:p>
      <w:pPr>
        <w:pStyle w:val="Heading2"/>
      </w:pPr>
      <w:bookmarkStart w:id="11" w:name="_Toc13"/>
      <w:r>
        <w:t>Has Formal Ethical Clearance</w:t>
      </w:r>
      <w:bookmarkEnd w:id="11"/>
    </w:p>
    <w:p>
      <w:pPr>
        <w:pStyle w:val="Heading2"/>
      </w:pPr>
      <w:bookmarkStart w:id="12" w:name="_Toc14"/>
      <w:r>
        <w:t>Informed Consent</w:t>
      </w:r>
      <w:bookmarkEnd w:id="12"/>
    </w:p>
    <w:p>
      <w:pPr/>
      <w:r>
        <w:rPr/>
        <w:t xml:space="preserve">Consent obtained</w:t>
      </w:r>
    </w:p>
    <w:p>
      <w:pPr>
        <w:pStyle w:val="Heading1"/>
      </w:pPr>
      <w:bookmarkStart w:id="13" w:name="_Toc15"/>
      <w:r>
        <w:t>Goals</w:t>
      </w:r>
      <w:bookmarkEnd w:id="13"/>
    </w:p>
    <w:p>
      <w:pPr/>
      <w:r>
        <w:rPr/>
        <w:t xml:space="preserve">Digital technologies have opened up new avenues for perpetrators of teen dating violence to harm, control, stalk or harass their partners. To date, research on the recent phenomenon of adolescent cyber dating abuse has been mainly descriptive in nature and focuses on the link with negative health outcomes and other risk behaviors among victims. Little is known about the antecedents of cyber dating abuse perpetration. In order to design effective prevention strategies, this research focuses on perpetration and applies complementary theoretical perspectives. It compares the predictive power of the various frameworks and provides educators with information on how to tailor their prevention efforts effectively to the main facilitators of cyber dating abuse perpetration.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2025-11-03T18:38:54+00:00</dcterms:created>
  <dcterms:modified xsi:type="dcterms:W3CDTF">2025-11-03T18:38:54+00:00</dcterms:modified>
</cp:coreProperties>
</file>

<file path=docProps/custom.xml><?xml version="1.0" encoding="utf-8"?>
<Properties xmlns="http://schemas.openxmlformats.org/officeDocument/2006/custom-properties" xmlns:vt="http://schemas.openxmlformats.org/officeDocument/2006/docPropsVTypes"/>
</file>