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taste for news: Class shaping young people’s news use in Sweden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Secondary analysis</w:t>
      </w:r>
    </w:p>
    <w:p>
      <w:pPr>
        <w:pStyle w:val="Heading2"/>
      </w:pPr>
      <w:bookmarkStart w:id="6" w:name="_Toc7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8"/>
      <w:r>
        <w:t>URL</w:t>
      </w:r>
      <w:bookmarkEnd w:id="7"/>
    </w:p>
    <w:p>
      <w:pPr/>
      <w:r>
        <w:rPr/>
        <w:t xml:space="preserve">https://www.diva-portal.org/smash/get/diva2:1535757/FULLTEXT01.pdf</w:t>
      </w:r>
    </w:p>
    <w:p>
      <w:pPr>
        <w:pStyle w:val="Heading2"/>
      </w:pPr>
      <w:bookmarkStart w:id="8" w:name="_Toc9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"In this chapter I summarize key findings from two recent publications dealing with the relationship between class and news consumption." (Author, 133)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2025-10-23T06:36:29+00:00</dcterms:created>
  <dcterms:modified xsi:type="dcterms:W3CDTF">2025-10-23T06:36:29+00:00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