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Voicing young people’s perspectives: Media influencing as a form of collaboration between youth organisations and the professional media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Case study</w:t>
      </w:r>
    </w:p>
    <w:p>
      <w:pPr>
        <w:pStyle w:val="Heading2"/>
      </w:pPr>
      <w:bookmarkStart w:id="6" w:name="_Toc7"/>
      <w:r>
        <w:t>Children Ages</w:t>
      </w:r>
      <w:bookmarkEnd w:id="6"/>
    </w:p>
    <w:p>
      <w:pPr/>
      <w:r>
        <w:rPr/>
        <w:t xml:space="preserve">Other</w:t>
      </w:r>
    </w:p>
    <w:p>
      <w:pPr>
        <w:pStyle w:val="Heading2"/>
      </w:pPr>
      <w:bookmarkStart w:id="7" w:name="_Toc8"/>
      <w:r>
        <w:t>Other Childrens Age Group</w:t>
      </w:r>
      <w:bookmarkEnd w:id="7"/>
    </w:p>
    <w:p>
      <w:pPr/>
      <w:r>
        <w:rPr/>
        <w:t xml:space="preserve">13-20 years old</w:t>
      </w:r>
    </w:p>
    <w:p>
      <w:pPr>
        <w:pStyle w:val="Heading2"/>
      </w:pPr>
      <w:bookmarkStart w:id="8" w:name="_Toc9"/>
      <w:r>
        <w:t>Informed Consent</w:t>
      </w:r>
      <w:bookmarkEnd w:id="8"/>
    </w:p>
    <w:p>
      <w:pPr/>
      <w:r>
        <w:rPr/>
        <w:t xml:space="preserve">No consent needed</w:t>
      </w:r>
    </w:p>
    <w:p>
      <w:pPr>
        <w:pStyle w:val="Heading2"/>
      </w:pPr>
      <w:bookmarkStart w:id="9" w:name="_Toc10"/>
      <w:r>
        <w:t>URL</w:t>
      </w:r>
      <w:bookmarkEnd w:id="9"/>
    </w:p>
    <w:p>
      <w:pPr/>
      <w:r>
        <w:rPr/>
        <w:t xml:space="preserve">https://www.diva-portal.org/smash/get/diva2:1535751/FULLTEXT01.pdf</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"In this chapter, I describe the pedagogical practices and challenges of media influencing within the youth work sector. The distinctive nature of the YVNC newsroom is that it attempts to turn local youth culture into a forum for voicing opinions – scaffolded by adults (youth workers and media professionals) – that are expressed in front of large, established mainstream audiences, side by side with professionally produced media content." (Author, 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2025-10-23T06:40:16+00:00</dcterms:created>
  <dcterms:modified xsi:type="dcterms:W3CDTF">2025-10-23T06:40:16+00:00</dcterms:modified>
</cp:coreProperties>
</file>

<file path=docProps/custom.xml><?xml version="1.0" encoding="utf-8"?>
<Properties xmlns="http://schemas.openxmlformats.org/officeDocument/2006/custom-properties" xmlns:vt="http://schemas.openxmlformats.org/officeDocument/2006/docPropsVTypes"/>
</file>