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Emergent Practices and Material Conditions in Learning and Teaching with Technologies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Type</w:t>
      </w:r>
      <w:bookmarkEnd w:id="4"/>
    </w:p>
    <w:p>
      <w:pPr/>
      <w:r>
        <w:rPr/>
        <w:t xml:space="preserve">Empirical research – Mixed methods</w:t>
      </w:r>
    </w:p>
    <w:p>
      <w:pPr>
        <w:pStyle w:val="Heading2"/>
      </w:pPr>
      <w:bookmarkStart w:id="5" w:name="_Toc6"/>
      <w:r>
        <w:t>URL</w:t>
      </w:r>
      <w:bookmarkEnd w:id="5"/>
    </w:p>
    <w:p>
      <w:pPr/>
      <w:r>
        <w:rPr/>
        <w:t xml:space="preserve">https://link.springer.com/book/10.1007/978-3-030-10764-2</w:t>
      </w:r>
    </w:p>
    <w:p>
      <w:pPr>
        <w:pStyle w:val="Heading1"/>
      </w:pPr>
      <w:bookmarkStart w:id="6" w:name="_Toc7"/>
      <w:r>
        <w:t>Goals</w:t>
      </w:r>
      <w:bookmarkEnd w:id="6"/>
    </w:p>
    <w:p>
      <w:pPr/>
      <w:r>
        <w:rPr/>
        <w:t xml:space="preserve">The book elaborates on emergent educational practices bound to digital technologies in everyday teaching and learning, presents case studies submitted from scholars in the CSCL field, and brings together innovative and critical research work from around the world. (https://link.springer.com/book/10.1007/978-3-030-10764-2)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2025-10-24T20:25:17+00:00</dcterms:created>
  <dcterms:modified xsi:type="dcterms:W3CDTF">2025-10-24T20:25:17+00:00</dcterms:modified>
</cp:coreProperties>
</file>

<file path=docProps/custom.xml><?xml version="1.0" encoding="utf-8"?>
<Properties xmlns="http://schemas.openxmlformats.org/officeDocument/2006/custom-properties" xmlns:vt="http://schemas.openxmlformats.org/officeDocument/2006/docPropsVTypes"/>
</file>