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Make IT Happen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Evaluation of lesson plans; written reflections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Teachers / Educators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1"/>
      <w:r>
        <w:t>Other Childrens Age Group</w:t>
      </w:r>
      <w:bookmarkEnd w:id="10"/>
    </w:p>
    <w:p>
      <w:pPr/>
      <w:r>
        <w:rPr/>
        <w:t xml:space="preserve">Elementary school children (approx. 6–16 years old).</w:t>
      </w:r>
    </w:p>
    <w:p>
      <w:pPr>
        <w:pStyle w:val="Heading2"/>
      </w:pPr>
      <w:bookmarkStart w:id="11" w:name="_Toc12"/>
      <w:r>
        <w:t>Funder</w:t>
      </w:r>
      <w:bookmarkEnd w:id="11"/>
    </w:p>
    <w:p>
      <w:pPr/>
      <w:r>
        <w:rPr/>
        <w:t xml:space="preserve">Region Kronoberg</w:t>
      </w:r>
    </w:p>
    <w:p>
      <w:pPr>
        <w:pStyle w:val="Heading2"/>
      </w:pPr>
      <w:bookmarkStart w:id="12" w:name="_Toc13"/>
      <w:r>
        <w:t>Funder Types</w:t>
      </w:r>
      <w:bookmarkEnd w:id="12"/>
    </w:p>
    <w:p>
      <w:pPr/>
      <w:r>
        <w:rPr/>
        <w:t xml:space="preserve">Regional Government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not mentioned</w:t>
      </w:r>
    </w:p>
    <w:p>
      <w:pPr>
        <w:pStyle w:val="Heading2"/>
      </w:pPr>
      <w:bookmarkStart w:id="14" w:name="_Toc15"/>
      <w:r>
        <w:t>URL</w:t>
      </w:r>
      <w:bookmarkEnd w:id="14"/>
    </w:p>
    <w:p>
      <w:pPr/>
      <w:r>
        <w:rPr/>
        <w:t xml:space="preserve">https://www.researchgate.net/publication/340563447_Make_IT_Happen_Slutrapport_2020-02-30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Evalutation of a project to provide elementary school teachers working in 8 different municipalities in the region of Kronoberg, Sweden, with an opportunity to develop their digital competence as concerns their programming and computational thinking skills.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2025-10-24T20:27:56+00:00</dcterms:created>
  <dcterms:modified xsi:type="dcterms:W3CDTF">2025-10-24T20:27:56+00:00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