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Discursive gaps as spaces for Sami educational self-governance: A Bernsteinian analysis of classification and framing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Systematic review / Meta-analysis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Textual / documentary / content analysis</w:t>
      </w:r>
    </w:p>
    <w:p>
      <w:pPr>
        <w:pStyle w:val="Heading2"/>
      </w:pPr>
      <w:bookmarkStart w:id="7" w:name="_Toc8"/>
      <w:r>
        <w:t>Children Ages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Childrens Age Group</w:t>
      </w:r>
      <w:bookmarkEnd w:id="8"/>
    </w:p>
    <w:p>
      <w:pPr/>
      <w:r>
        <w:rPr/>
        <w:t xml:space="preserve">6-15 years old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No consent needed</w:t>
      </w:r>
    </w:p>
    <w:p>
      <w:pPr>
        <w:pStyle w:val="Heading2"/>
      </w:pPr>
      <w:bookmarkStart w:id="10" w:name="_Toc11"/>
      <w:r>
        <w:t>URL</w:t>
      </w:r>
      <w:bookmarkEnd w:id="10"/>
    </w:p>
    <w:p>
      <w:pPr/>
      <w:r>
        <w:rPr/>
        <w:t xml:space="preserve">https://www.abdn.ac.uk/education/documents/journals_documents/Volume_27_Issue_2_Remote_Teaching/10_EITN_2020_02_17_Koskinen.pdf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"The present study...aims at describing and bringing about an understanding of the mechanisms and practices of cultural reproduction and transformation (Bernstein and Salomon, 1999; Bernstein, 2000) contributing to the construction of a linguistically and culturally relevant remote Sámi language education programme organised and offered by The Sámi Education Board in Sweden.
RQ1: How can a Bernsteinian lens be adopted to identify discursive gaps/spaces allowing Sámi stakeholders to construct linguistically and culturally relevant remote (Sámi language) education?
RQ2: How are identified gaps/spaces contributing to Sámi educational self-governance?"
(Author, 138)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2025-10-22T08:25:59+00:00</dcterms:created>
  <dcterms:modified xsi:type="dcterms:W3CDTF">2025-10-22T08:25:59+00:00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