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Purposes of Internet use and problematic Internet use among Turkish high school students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Adolescents (14-18 Years old)</w:t></w:r></w:p><w:p><w:pPr><w:pStyle w:val="Heading2"/></w:pPr><w:bookmarkStart w:id="9" w:name="_Toc10"/><w:r><w:t>Has Formal Ethical Clearance</w:t></w:r><w:bookmarkEnd w:id="9"/></w:p><w:p><w:pPr><w:pStyle w:val="Heading2"/></w:pPr><w:bookmarkStart w:id="10" w:name="_Toc11"/><w:r><w:t>Consents</w:t></w:r><w:bookmarkEnd w:id="10"/></w:p><w:p><w:pPr><w:pStyle w:val="Heading2"/></w:pPr><w:bookmarkStart w:id="11" w:name="_Toc12"/><w:r><w:t>Informed Consent</w:t></w:r><w:bookmarkEnd w:id="11"/></w:p><w:p><w:pPr/><w:r><w:rPr/><w:t xml:space="preserve">Consent obtained</w:t></w:r></w:p><w:p><w:pPr><w:pStyle w:val="Heading2"/></w:pPr><w:bookmarkStart w:id="12" w:name="_Toc13"/><w:r><w:t>Ethics</w:t></w:r><w:bookmarkEnd w:id="12"/></w:p><w:p><w:pPr/><w:r><w:rPr/><w:t xml:space="preserve">Ethical considerations and/or protocol mentioned in the research design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"This study has two aims: first, to examine the purposes of Internet use among Turkish high school students according to their gender, FIU, GPA, and
F-income, and second, to investigate whether any of these variables predict PIU." (Demirer & Bozoglan, 2016, p.270)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2025-10-22T08:57:21+00:00</dcterms:created>
  <dcterms:modified xsi:type="dcterms:W3CDTF">2025-10-22T08:57:21+00:00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