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Motus (Monitoring Tablet Utilization in School)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numPr>
          <w:ilvl w:val="0"/>
          <w:numId w:val="5"/>
        </w:numPr>
      </w:pPr>
      <w:r>
        <w:rPr/>
        <w:t xml:space="preserve">Focus group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Video analysis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Parents</w:t>
      </w:r>
    </w:p>
    <w:p>
      <w:pPr>
        <w:numPr>
          <w:ilvl w:val="0"/>
          <w:numId w:val="5"/>
        </w:numPr>
      </w:pPr>
      <w:r>
        <w:rPr/>
        <w:t xml:space="preserve">Teachers / Educators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>
        <w:pStyle w:val="Heading2"/>
      </w:pPr>
      <w:bookmarkStart w:id="10" w:name="_Toc11"/>
      <w:r>
        <w:t>Data Set Availability</w:t>
      </w:r>
      <w:bookmarkEnd w:id="10"/>
    </w:p>
    <w:p>
      <w:pPr/>
      <w:r>
        <w:rPr/>
        <w:t xml:space="preserve">Not mentioned</w:t>
      </w:r>
    </w:p>
    <w:p>
      <w:pPr>
        <w:pStyle w:val="Heading1"/>
      </w:pPr>
      <w:bookmarkStart w:id="11" w:name="_Toc12"/>
      <w:r>
        <w:t>Goals</w:t>
      </w:r>
      <w:bookmarkEnd w:id="11"/>
    </w:p>
    <w:p>
      <w:pPr/>
      <w:r>
        <w:rPr/>
        <w:t xml:space="preserve">The project was built up to meet the following goals:
– collect data on the use of mobile devices and the representations of the device
provided by students and teachers, not forgetting students’ family (questionnaire);
– coach teachers in their use of the device at school (course on the use of mobile
device on a pedagogical basis);
– promote a cultural appropriation of technology providing educational support
and professional development (course and seminars during the project);
– study whether and under what conditions the device can become an instrument
in ordinary teaching (video observation of the classroom, questionnaire,
focus group);
– provide opportunities for sharing experiences among teachers in different
schools, through local seminars and online participation (group seminars and
individual sessions with the coach).
(Carenzio et al., 2014, p. 29)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C682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2025-10-26T19:51:34+00:00</dcterms:created>
  <dcterms:modified xsi:type="dcterms:W3CDTF">2025-10-26T19:51:34+00:00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