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Young Children (0-8) and Digital Technology -A qualitative study across Europe</w:t>
      </w:r>
    </w:p>
    <w:p>
      <w:pPr>
        <w:pStyle w:val="Title"/>
      </w:pPr>
      <w:r>
        <w:t>Engl. transl.: Young Children (0-8) and Digital Technology -A qualitative study across Europe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Belgium</w:t>
      </w:r>
    </w:p>
    <w:p>
      <w:pPr>
        <w:numPr>
          <w:ilvl w:val="0"/>
          <w:numId w:val="5"/>
        </w:numPr>
      </w:pPr>
      <w:r>
        <w:rPr/>
        <w:t xml:space="preserve">Bulgaria</w:t>
      </w:r>
    </w:p>
    <w:p>
      <w:pPr>
        <w:numPr>
          <w:ilvl w:val="0"/>
          <w:numId w:val="5"/>
        </w:numPr>
      </w:pPr>
      <w:r>
        <w:rPr/>
        <w:t xml:space="preserve">Croatia</w:t>
      </w:r>
    </w:p>
    <w:p>
      <w:pPr>
        <w:numPr>
          <w:ilvl w:val="0"/>
          <w:numId w:val="5"/>
        </w:numPr>
      </w:pPr>
      <w:r>
        <w:rPr/>
        <w:t xml:space="preserve">Cyprus</w:t>
      </w:r>
    </w:p>
    <w:p>
      <w:pPr>
        <w:numPr>
          <w:ilvl w:val="0"/>
          <w:numId w:val="5"/>
        </w:numPr>
      </w:pPr>
      <w:r>
        <w:rPr/>
        <w:t xml:space="preserve">Czech Republic</w:t>
      </w:r>
    </w:p>
    <w:p>
      <w:pPr>
        <w:numPr>
          <w:ilvl w:val="0"/>
          <w:numId w:val="5"/>
        </w:numPr>
      </w:pPr>
      <w:r>
        <w:rPr/>
        <w:t xml:space="preserve">Denmark</w:t>
      </w:r>
    </w:p>
    <w:p>
      <w:pPr>
        <w:numPr>
          <w:ilvl w:val="0"/>
          <w:numId w:val="5"/>
        </w:numPr>
      </w:pPr>
      <w:r>
        <w:rPr/>
        <w:t xml:space="preserve">Finland</w:t>
      </w:r>
    </w:p>
    <w:p>
      <w:pPr>
        <w:numPr>
          <w:ilvl w:val="0"/>
          <w:numId w:val="5"/>
        </w:numPr>
      </w:pPr>
      <w:r>
        <w:rPr/>
        <w:t xml:space="preserve">Germany</w:t>
      </w:r>
    </w:p>
    <w:p>
      <w:pPr>
        <w:numPr>
          <w:ilvl w:val="0"/>
          <w:numId w:val="5"/>
        </w:numPr>
      </w:pPr>
      <w:r>
        <w:rPr/>
        <w:t xml:space="preserve">Italy</w:t>
      </w:r>
    </w:p>
    <w:p>
      <w:pPr>
        <w:numPr>
          <w:ilvl w:val="0"/>
          <w:numId w:val="5"/>
        </w:numPr>
      </w:pPr>
      <w:r>
        <w:rPr/>
        <w:t xml:space="preserve">Latvia</w:t>
      </w:r>
    </w:p>
    <w:p>
      <w:pPr>
        <w:numPr>
          <w:ilvl w:val="0"/>
          <w:numId w:val="5"/>
        </w:numPr>
      </w:pPr>
      <w:r>
        <w:rPr/>
        <w:t xml:space="preserve">Lithuania</w:t>
      </w:r>
    </w:p>
    <w:p>
      <w:pPr>
        <w:numPr>
          <w:ilvl w:val="0"/>
          <w:numId w:val="5"/>
        </w:numPr>
      </w:pPr>
      <w:r>
        <w:rPr/>
        <w:t xml:space="preserve">Malta</w:t>
      </w:r>
    </w:p>
    <w:p>
      <w:pPr>
        <w:numPr>
          <w:ilvl w:val="0"/>
          <w:numId w:val="5"/>
        </w:numPr>
      </w:pPr>
      <w:r>
        <w:rPr/>
        <w:t xml:space="preserve">Netherlands</w:t>
      </w:r>
    </w:p>
    <w:p>
      <w:pPr>
        <w:numPr>
          <w:ilvl w:val="0"/>
          <w:numId w:val="5"/>
        </w:numPr>
      </w:pPr>
      <w:r>
        <w:rPr/>
        <w:t xml:space="preserve">Norway</w:t>
      </w:r>
    </w:p>
    <w:p>
      <w:pPr>
        <w:numPr>
          <w:ilvl w:val="0"/>
          <w:numId w:val="5"/>
        </w:numPr>
      </w:pPr>
      <w:r>
        <w:rPr/>
        <w:t xml:space="preserve">Portugal</w:t>
      </w:r>
    </w:p>
    <w:p>
      <w:pPr>
        <w:numPr>
          <w:ilvl w:val="0"/>
          <w:numId w:val="5"/>
        </w:numPr>
      </w:pPr>
      <w:r>
        <w:rPr/>
        <w:t xml:space="preserve">Romania</w:t>
      </w:r>
    </w:p>
    <w:p>
      <w:pPr>
        <w:numPr>
          <w:ilvl w:val="0"/>
          <w:numId w:val="5"/>
        </w:numPr>
      </w:pPr>
      <w:r>
        <w:rPr/>
        <w:t xml:space="preserve">Slovenia</w:t>
      </w:r>
    </w:p>
    <w:p>
      <w:pPr>
        <w:numPr>
          <w:ilvl w:val="0"/>
          <w:numId w:val="5"/>
        </w:numPr>
      </w:pPr>
      <w:r>
        <w:rPr/>
        <w:t xml:space="preserve">Spain</w:t>
      </w:r>
    </w:p>
    <w:p>
      <w:pPr>
        <w:numPr>
          <w:ilvl w:val="0"/>
          <w:numId w:val="5"/>
        </w:numPr>
      </w:pPr>
      <w:r>
        <w:rPr/>
        <w:t xml:space="preserve">Switzerland</w:t>
      </w:r>
    </w:p>
    <w:p>
      <w:pPr>
        <w:numPr>
          <w:ilvl w:val="0"/>
          <w:numId w:val="5"/>
        </w:numPr>
      </w:pPr>
      <w:r>
        <w:rPr/>
        <w:t xml:space="preserve">United Kingdom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Families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JRC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European Union / Commission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https://publications.jrc.ec.europa.eu/repository/handle/JRC110359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They focus on the following research questions in a first round of interviews of 234 families with
children aged 0-8 made between autumn 2014 and spring 2017, in the pilot and enlargement
phases of the study:
• How do children under the age of 8 engage with digital technologies?
• How do the different family members perceive them?
• How do parents manage their younger children’s use of technologies?
• What role do they play?
• What are the associated risks and opportunities?
A second round of interviews (advanced phase of the study) allowed to get back in 56 families
of the interviewed families, in 10 of the 21 countries (²), a year after the first interviews, and
focused on the following research questions.
• How did the engagement of children under the age of 8 with online technologies
evolve over the course of a year?
• How did the perceptions of the online technologies by the different family members evolve over the course of a year?
• How did parents’ mediation of young children’s use of online technologies evolve
over the course of a year?
• Has the role that the online technologies play in the children’s and parents’ lives
changed over a year?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520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2025-10-22T08:27:21+00:00</dcterms:created>
  <dcterms:modified xsi:type="dcterms:W3CDTF">2025-10-22T08:27:21+00:00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