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DigiGen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2019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Multinational</w:t>
      </w:r>
    </w:p>
    <w:p>
      <w:pPr>
        <w:pStyle w:val="Heading2"/>
      </w:pPr>
      <w:bookmarkStart w:id="4" w:name="_Toc5"/>
      <w:r>
        <w:t>Type</w:t>
      </w:r>
      <w:bookmarkEnd w:id="4"/>
    </w:p>
    <w:p>
      <w:pPr/>
      <w:r>
        <w:rPr/>
        <w:t xml:space="preserve">Empirical research – Mixed methods</w:t>
      </w:r>
    </w:p>
    <w:p>
      <w:pPr>
        <w:pStyle w:val="Heading2"/>
      </w:pPr>
      <w:bookmarkStart w:id="5" w:name="_Toc6"/>
      <w:r>
        <w:t>Methodologies</w:t>
      </w:r>
      <w:bookmarkEnd w:id="5"/>
    </w:p>
    <w:p>
      <w:pPr>
        <w:numPr>
          <w:ilvl w:val="0"/>
          <w:numId w:val="5"/>
        </w:numPr>
      </w:pPr>
      <w:r>
        <w:rPr/>
        <w:t xml:space="preserve">Interview</w:t>
      </w:r>
    </w:p>
    <w:p>
      <w:pPr>
        <w:numPr>
          <w:ilvl w:val="0"/>
          <w:numId w:val="5"/>
        </w:numPr>
      </w:pPr>
      <w:r>
        <w:rPr/>
        <w:t xml:space="preserve">Media diaries</w:t>
      </w:r>
    </w:p>
    <w:p>
      <w:pPr>
        <w:numPr>
          <w:ilvl w:val="0"/>
          <w:numId w:val="5"/>
        </w:numPr>
      </w:pPr>
      <w:r>
        <w:rPr/>
        <w:t xml:space="preserve">Other</w:t>
      </w:r>
    </w:p>
    <w:p>
      <w:pPr>
        <w:pStyle w:val="Heading2"/>
      </w:pPr>
      <w:bookmarkStart w:id="6" w:name="_Toc7"/>
      <w:r>
        <w:t>Other Methodology</w:t>
      </w:r>
      <w:bookmarkEnd w:id="6"/>
    </w:p>
    <w:p>
      <w:pPr/>
      <w:r>
        <w:rPr/>
        <w:t xml:space="preserve">Video game observation</w:t>
      </w:r>
    </w:p>
    <w:p>
      <w:pPr>
        <w:pStyle w:val="Heading2"/>
      </w:pPr>
      <w:bookmarkStart w:id="7" w:name="_Toc8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9"/>
      <w:r>
        <w:t>Children Ages</w:t>
      </w:r>
      <w:bookmarkEnd w:id="8"/>
    </w:p>
    <w:p>
      <w:pPr>
        <w:pStyle w:val="Heading2"/>
      </w:pPr>
      <w:bookmarkStart w:id="9" w:name="_Toc10"/>
      <w:r>
        <w:t>Funder Types</w:t>
      </w:r>
      <w:bookmarkEnd w:id="9"/>
    </w:p>
    <w:p>
      <w:pPr/>
      <w:r>
        <w:rPr/>
        <w:t xml:space="preserve">European Union / Commission</w:t>
      </w:r>
    </w:p>
    <w:p>
      <w:pPr>
        <w:pStyle w:val="Heading2"/>
      </w:pPr>
      <w:bookmarkStart w:id="10" w:name="_Toc11"/>
      <w:r>
        <w:t>Has Formal Ethical Clearance</w:t>
      </w:r>
      <w:bookmarkEnd w:id="10"/>
    </w:p>
    <w:p>
      <w:pPr>
        <w:pStyle w:val="Heading2"/>
      </w:pPr>
      <w:bookmarkStart w:id="11" w:name="_Toc12"/>
      <w:r>
        <w:t>Consents</w:t>
      </w:r>
      <w:bookmarkEnd w:id="11"/>
    </w:p>
    <w:p>
      <w:pPr/>
      <w:r>
        <w:rPr/>
        <w:t xml:space="preserve">Consent obtained from children</w:t>
      </w:r>
    </w:p>
    <w:p>
      <w:pPr>
        <w:pStyle w:val="Heading2"/>
      </w:pPr>
      <w:bookmarkStart w:id="12" w:name="_Toc13"/>
      <w:r>
        <w:t>Informed Consent</w:t>
      </w:r>
      <w:bookmarkEnd w:id="12"/>
    </w:p>
    <w:p>
      <w:pPr/>
      <w:r>
        <w:rPr/>
        <w:t xml:space="preserve">Consent obtained</w:t>
      </w:r>
    </w:p>
    <w:p>
      <w:pPr>
        <w:pStyle w:val="Heading1"/>
      </w:pPr>
      <w:bookmarkStart w:id="13" w:name="_Toc14"/>
      <w:r>
        <w:t>Goals</w:t>
      </w:r>
      <w:bookmarkEnd w:id="13"/>
    </w:p>
    <w:p>
      <w:pPr/>
      <w:r>
        <w:rPr/>
        <w:t xml:space="preserve">"The aim of this report was two-fold: on the one hand, to advocate a multimodal approach that entails a combination of research methods; on the other hand, to present some basic findings that stem from the material collected from fieldwork research, but also from secondary analysis of available statistical data."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17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781A3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2024-05-17T03:11:53+00:00</dcterms:created>
  <dcterms:modified xsi:type="dcterms:W3CDTF">2024-05-17T03:11:53+00:00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