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impact of technological transformations on the Digital Generation</w:t>
      </w:r>
    </w:p>
    <w:p>
      <w:pPr>
        <w:pStyle w:val="Heading1"/>
      </w:pPr>
      <w:bookmarkStart w:id="1" w:name="_Toc2"/>
      <w:r>
        <w:t>Details</w:t>
      </w:r>
      <w:bookmarkEnd w:id="1"/>
    </w:p>
    <w:p>
      <w:pPr>
        <w:pStyle w:val="Heading2"/>
      </w:pPr>
      <w:bookmarkStart w:id="2" w:name="_Toc3"/>
      <w:r>
        <w:t>Year</w:t>
      </w:r>
      <w:bookmarkEnd w:id="2"/>
    </w:p>
    <w:p>
      <w:pPr/>
      <w:r>
        <w:rPr/>
        <w:t xml:space="preserve">2022</w:t>
      </w:r>
    </w:p>
    <w:p>
      <w:pPr>
        <w:pStyle w:val="Heading2"/>
      </w:pPr>
      <w:bookmarkStart w:id="3" w:name="_Toc4"/>
      <w:r>
        <w:t>Scope</w:t>
      </w:r>
      <w:bookmarkEnd w:id="3"/>
    </w:p>
    <w:p>
      <w:pPr/>
      <w:r>
        <w:rPr/>
        <w:t xml:space="preserve">Multinational</w:t>
      </w:r>
    </w:p>
    <w:p>
      <w:pPr>
        <w:pStyle w:val="Heading2"/>
      </w:pPr>
      <w:bookmarkStart w:id="4" w:name="_Toc5"/>
      <w:r>
        <w:t>Type</w:t>
      </w:r>
      <w:bookmarkEnd w:id="4"/>
    </w:p>
    <w:p>
      <w:pPr/>
      <w:r>
        <w:rPr/>
        <w:t xml:space="preserve">Empirical research – Qualitative</w:t>
      </w:r>
    </w:p>
    <w:p>
      <w:pPr>
        <w:pStyle w:val="Heading2"/>
      </w:pPr>
      <w:bookmarkStart w:id="5" w:name="_Toc6"/>
      <w:r>
        <w:t>Methodologies</w:t>
      </w:r>
      <w:bookmarkEnd w:id="5"/>
    </w:p>
    <w:p>
      <w:pPr>
        <w:numPr>
          <w:ilvl w:val="0"/>
          <w:numId w:val="5"/>
        </w:numPr>
      </w:pPr>
      <w:r>
        <w:rPr/>
        <w:t xml:space="preserve">Interview</w:t>
      </w:r>
    </w:p>
    <w:p>
      <w:pPr>
        <w:numPr>
          <w:ilvl w:val="0"/>
          <w:numId w:val="5"/>
        </w:numPr>
      </w:pPr>
      <w:r>
        <w:rPr/>
        <w:t xml:space="preserve">Focus group</w:t>
      </w:r>
    </w:p>
    <w:p>
      <w:pPr>
        <w:numPr>
          <w:ilvl w:val="0"/>
          <w:numId w:val="5"/>
        </w:numPr>
      </w:pPr>
      <w:r>
        <w:rPr/>
        <w:t xml:space="preserve">Secondary analysis</w:t>
      </w:r>
    </w:p>
    <w:p>
      <w:pPr>
        <w:pStyle w:val="Heading2"/>
      </w:pPr>
      <w:bookmarkStart w:id="6" w:name="_Toc7"/>
      <w:r>
        <w:t>Researched Groups</w:t>
      </w:r>
      <w:bookmarkEnd w:id="6"/>
    </w:p>
    <w:p>
      <w:pPr>
        <w:numPr>
          <w:ilvl w:val="0"/>
          <w:numId w:val="5"/>
        </w:numPr>
      </w:pPr>
      <w:r>
        <w:rPr/>
        <w:t xml:space="preserve">Children</w:t>
      </w:r>
    </w:p>
    <w:p>
      <w:pPr>
        <w:numPr>
          <w:ilvl w:val="0"/>
          <w:numId w:val="5"/>
        </w:numPr>
      </w:pPr>
      <w:r>
        <w:rPr/>
        <w:t xml:space="preserve">Parents</w:t>
      </w:r>
    </w:p>
    <w:p>
      <w:pPr>
        <w:numPr>
          <w:ilvl w:val="0"/>
          <w:numId w:val="5"/>
        </w:numPr>
      </w:pPr>
      <w:r>
        <w:rPr/>
        <w:t xml:space="preserve">Teachers / Educators</w:t>
      </w:r>
    </w:p>
    <w:p>
      <w:pPr>
        <w:pStyle w:val="Heading2"/>
      </w:pPr>
      <w:bookmarkStart w:id="7" w:name="_Toc8"/>
      <w:r>
        <w:t>Children Ages</w:t>
      </w:r>
      <w:bookmarkEnd w:id="7"/>
    </w:p>
    <w:p>
      <w:pPr>
        <w:numPr>
          <w:ilvl w:val="0"/>
          <w:numId w:val="5"/>
        </w:numPr>
      </w:pPr>
      <w:r>
        <w:rPr/>
        <w:t xml:space="preserve">Kids (6-10 Years old)</w:t>
      </w:r>
    </w:p>
    <w:p>
      <w:pPr>
        <w:numPr>
          <w:ilvl w:val="0"/>
          <w:numId w:val="5"/>
        </w:numPr>
      </w:pPr>
      <w:r>
        <w:rPr/>
        <w:t xml:space="preserve">Pre-adolescents (11-13 Years old)</w:t>
      </w:r>
    </w:p>
    <w:p>
      <w:pPr>
        <w:numPr>
          <w:ilvl w:val="0"/>
          <w:numId w:val="5"/>
        </w:numPr>
      </w:pPr>
      <w:r>
        <w:rPr/>
        <w:t xml:space="preserve">Adolescents (14-18 Years old)</w:t>
      </w:r>
    </w:p>
    <w:p>
      <w:pPr>
        <w:pStyle w:val="Heading2"/>
      </w:pPr>
      <w:bookmarkStart w:id="8" w:name="_Toc9"/>
      <w:r>
        <w:t>Funder Types</w:t>
      </w:r>
      <w:bookmarkEnd w:id="8"/>
    </w:p>
    <w:p>
      <w:pPr/>
      <w:r>
        <w:rPr/>
        <w:t xml:space="preserve">European Union / Commission</w:t>
      </w:r>
    </w:p>
    <w:p>
      <w:pPr>
        <w:pStyle w:val="Heading2"/>
      </w:pPr>
      <w:bookmarkStart w:id="9" w:name="_Toc10"/>
      <w:r>
        <w:t>Informed Consent</w:t>
      </w:r>
      <w:bookmarkEnd w:id="9"/>
    </w:p>
    <w:p>
      <w:pPr/>
      <w:r>
        <w:rPr/>
        <w:t xml:space="preserve">Consent obtained</w:t>
      </w:r>
    </w:p>
    <w:p>
      <w:pPr>
        <w:pStyle w:val="Heading2"/>
      </w:pPr>
      <w:bookmarkStart w:id="10" w:name="_Toc11"/>
      <w:r>
        <w:t>URL</w:t>
      </w:r>
      <w:bookmarkEnd w:id="10"/>
    </w:p>
    <w:p>
      <w:pPr/>
      <w:r>
        <w:rPr/>
        <w:t xml:space="preserve">https://www.digigen.eu/</w:t>
      </w:r>
    </w:p>
    <w:p>
      <w:pPr>
        <w:pStyle w:val="Heading2"/>
      </w:pPr>
      <w:bookmarkStart w:id="11" w:name="_Toc12"/>
      <w:r>
        <w:t>Data Set Availability</w:t>
      </w:r>
      <w:bookmarkEnd w:id="11"/>
    </w:p>
    <w:p>
      <w:pPr/>
      <w:r>
        <w:rPr/>
        <w:t xml:space="preserve">Not mentioned</w:t>
      </w:r>
    </w:p>
    <w:p>
      <w:pPr>
        <w:pStyle w:val="Heading1"/>
      </w:pPr>
      <w:bookmarkStart w:id="12" w:name="_Toc13"/>
      <w:r>
        <w:t>Goals</w:t>
      </w:r>
      <w:bookmarkEnd w:id="12"/>
    </w:p>
    <w:p>
      <w:pPr/>
      <w:r>
        <w:rPr/>
        <w:t xml:space="preserve">"DigiGen aims to increase our understanding of how and why some children and young people
benefit from using digital technology while others are impacted negatively. It should be evident that answers to this question depend on our view of digital technology, meaning how we perceive, understand and talk about digital technology, especially with regards to the worries and hopes we may have for children and young people now and in the future. This perspective moves the question of the impact of technological transformations on the younger generations away from the technology itself and into the social and cultural sphere. Baym (2010, p. 23) has phrased this as: “When we are communicating about digital media, we are communicating about ourselves, as individuals, groups and societies.” At the centre of these conversations are our values, norms and concerns for the interactions we have with other people – our interpersonal relationships, entangled with social and psychological issues of authenticity, privacy, well-being and personal growth." (p.10)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F0A6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2025-10-15T11:26:27+00:00</dcterms:created>
  <dcterms:modified xsi:type="dcterms:W3CDTF">2025-10-15T11:26:27+00:00</dcterms:modified>
</cp:coreProperties>
</file>

<file path=docProps/custom.xml><?xml version="1.0" encoding="utf-8"?>
<Properties xmlns="http://schemas.openxmlformats.org/officeDocument/2006/custom-properties" xmlns:vt="http://schemas.openxmlformats.org/officeDocument/2006/docPropsVTypes"/>
</file>