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SIKID – Sicherheit für Kinder in der digitalen Welt</w:t>
      </w:r>
    </w:p>
    <w:p>
      <w:pPr>
        <w:pStyle w:val="Title"/>
      </w:pPr>
      <w:r>
        <w:t>Engl. transl.: SIKID - Safety for children in the digital world</w:t>
      </w:r>
    </w:p>
    <w:p>
      <w:pPr>
        <w:pStyle w:val="Heading1"/>
      </w:pPr>
      <w:bookmarkStart w:id="1" w:name="_Toc3"/>
      <w:r>
        <w:t>Details</w:t>
      </w:r>
      <w:bookmarkEnd w:id="1"/>
    </w:p>
    <w:p>
      <w:pPr>
        <w:pStyle w:val="Heading2"/>
      </w:pPr>
      <w:bookmarkStart w:id="2" w:name="_Toc4"/>
      <w:r>
        <w:t>Year</w:t>
      </w:r>
      <w:bookmarkEnd w:id="2"/>
    </w:p>
    <w:p>
      <w:pPr/>
      <w:r>
        <w:rPr/>
        <w:t xml:space="preserve">2022</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r>
        <w:rPr/>
        <w:t xml:space="preserve">Interview</w:t>
      </w:r>
    </w:p>
    <w:p>
      <w:pPr>
        <w:pStyle w:val="Heading2"/>
      </w:pPr>
      <w:bookmarkStart w:id="7" w:name="_Toc9"/>
      <w:r>
        <w:t>Researched Groups</w:t>
      </w:r>
      <w:bookmarkEnd w:id="7"/>
    </w:p>
    <w:p>
      <w:pPr>
        <w:pStyle w:val="Heading2"/>
      </w:pPr>
      <w:bookmarkStart w:id="8" w:name="_Toc10"/>
      <w:r>
        <w:t>Children Ages</w:t>
      </w:r>
      <w:bookmarkEnd w:id="8"/>
    </w:p>
    <w:p>
      <w:pPr>
        <w:pStyle w:val="Heading2"/>
      </w:pPr>
      <w:bookmarkStart w:id="9" w:name="_Toc11"/>
      <w:r>
        <w:t>Funder</w:t>
      </w:r>
      <w:bookmarkEnd w:id="9"/>
    </w:p>
    <w:p>
      <w:pPr/>
      <w:r>
        <w:rPr/>
        <w:t xml:space="preserve">Federal Ministry of Education and Research</w:t>
      </w:r>
    </w:p>
    <w:p>
      <w:pPr>
        <w:pStyle w:val="Heading2"/>
      </w:pPr>
      <w:bookmarkStart w:id="10" w:name="_Toc12"/>
      <w:r>
        <w:t>Funder Types</w:t>
      </w:r>
      <w:bookmarkEnd w:id="10"/>
    </w:p>
    <w:p>
      <w:pPr/>
      <w:r>
        <w:rPr/>
        <w:t xml:space="preserve">National Government / Ministry</w:t>
      </w:r>
    </w:p>
    <w:p>
      <w:pPr>
        <w:pStyle w:val="Heading2"/>
      </w:pPr>
      <w:bookmarkStart w:id="11" w:name="_Toc13"/>
      <w:r>
        <w:t>Has Formal Ethical Clearance</w:t>
      </w:r>
      <w:bookmarkEnd w:id="11"/>
    </w:p>
    <w:p>
      <w:pPr>
        <w:pStyle w:val="Heading2"/>
      </w:pPr>
      <w:bookmarkStart w:id="12" w:name="_Toc14"/>
      <w:r>
        <w:t>Consents</w:t>
      </w:r>
      <w:bookmarkEnd w:id="12"/>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issues flagged in the paper</w:t>
      </w:r>
    </w:p>
    <w:p>
      <w:pPr>
        <w:pStyle w:val="Heading2"/>
      </w:pPr>
      <w:bookmarkStart w:id="15" w:name="_Toc17"/>
      <w:r>
        <w:t>URL</w:t>
      </w:r>
      <w:bookmarkEnd w:id="15"/>
    </w:p>
    <w:p>
      <w:pPr/>
      <w:r>
        <w:rPr/>
        <w:t xml:space="preserve">https://uni-tuebingen.de/forschung/zentren-und-institute/internationales-zentrum-fuer-ethik-in-den-wissenschaften/forschung/gesellschaft-kultur-und-technischer-wandel/aktuelle-projekte/sikid/</w:t>
      </w:r>
    </w:p>
    <w:p>
      <w:pPr>
        <w:pStyle w:val="Heading2"/>
      </w:pPr>
      <w:bookmarkStart w:id="16" w:name="_Toc18"/>
      <w:r>
        <w:t>Data Set Availability</w:t>
      </w:r>
      <w:bookmarkEnd w:id="16"/>
    </w:p>
    <w:p>
      <w:pPr/>
      <w:r>
        <w:rPr/>
        <w:t xml:space="preserve">Not mentioned</w:t>
      </w:r>
    </w:p>
    <w:p>
      <w:pPr>
        <w:pStyle w:val="Heading1"/>
      </w:pPr>
      <w:bookmarkStart w:id="17" w:name="_Toc19"/>
      <w:r>
        <w:t>Goals</w:t>
      </w:r>
      <w:bookmarkEnd w:id="17"/>
    </w:p>
    <w:p>
      <w:pPr/>
      <w:r>
        <w:rPr/>
        <w:t xml:space="preserve">During adolescence, online interactions play a central role in media use. As they discover and try out new applications and opportunities, adolescent online users may have experiences that they find uncomfortable, disturbing, or even distressing. Qualitative interviews were conducted to explore how young people perceive interaction-based stressful online situations (e.g. cyberbullying, cybergrooming, cyberharassment and hate speech), what strategies they use to cope with them, to what extent these strategies are successful, and at what points support needs emerge.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2025-10-15T11:26:27+00:00</dcterms:created>
  <dcterms:modified xsi:type="dcterms:W3CDTF">2025-10-15T11:26:27+00:00</dcterms:modified>
</cp:coreProperties>
</file>

<file path=docProps/custom.xml><?xml version="1.0" encoding="utf-8"?>
<Properties xmlns="http://schemas.openxmlformats.org/officeDocument/2006/custom-properties" xmlns:vt="http://schemas.openxmlformats.org/officeDocument/2006/docPropsVTypes"/>
</file>