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 trasformazioni della disuguaglianza digitale tra gli adolescenti: evidenze da tre indagini nel Nord Italia</w:t>
      </w:r>
    </w:p>
    <w:p>
      <w:pPr>
        <w:pStyle w:val="Title"/>
      </w:pPr>
      <w:r>
        <w:t>Engl. transl.: Transformations of digital inequality among adolescents: evidence from three surveys in Northern Italy</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Systematic review / Meta-analysis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Regions</w:t>
      </w:r>
    </w:p>
    <w:p>
      <w:pPr>
        <w:pStyle w:val="Heading2"/>
      </w:pPr>
      <w:bookmarkStart w:id="10" w:name="_Toc12"/>
      <w:r>
        <w:t>Funder Types</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Data Set Availability</w:t>
      </w:r>
      <w:bookmarkEnd w:id="12"/>
    </w:p>
    <w:p>
      <w:pPr/>
      <w:r>
        <w:rPr/>
        <w:t xml:space="preserve">Not mentioned</w:t>
      </w:r>
    </w:p>
    <w:p>
      <w:pPr>
        <w:pStyle w:val="Heading1"/>
      </w:pPr>
      <w:bookmarkStart w:id="13" w:name="_Toc15"/>
      <w:r>
        <w:t>Goals</w:t>
      </w:r>
      <w:bookmarkEnd w:id="13"/>
    </w:p>
    <w:p>
      <w:pPr/>
      <w:r>
        <w:rPr/>
        <w:t xml:space="preserve">This study seeks to explore how youth's family background relates to their internet usage practices. Based on survey data from three different projects conducted in Lombardia (“Indagine sull’uso dei nuovi media tra gli studenti delle scuole superiori lombarde”), Trentino-Alto Adige (“Indagine sull’uso dei nuovi media tra gli studenti delle scuole superiori trentine”) and Valle d'Aosta (“Scuol@ digitale: didattica aumentata dalle Tic”)  with high school students, the goal is to see how students' SES relates to their digital practices in terms of engaging with informational activities, content production, social networking, and gaming, while controlling for students' gender, ethinicty, and urban or rural residency.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2025-10-28T19:36:16+00:00</dcterms:created>
  <dcterms:modified xsi:type="dcterms:W3CDTF">2025-10-28T19:36:16+00:00</dcterms:modified>
</cp:coreProperties>
</file>

<file path=docProps/custom.xml><?xml version="1.0" encoding="utf-8"?>
<Properties xmlns="http://schemas.openxmlformats.org/officeDocument/2006/custom-properties" xmlns:vt="http://schemas.openxmlformats.org/officeDocument/2006/docPropsVTypes"/>
</file>