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Seks onder je 25e</w:t>
      </w:r>
    </w:p>
    <w:p>
      <w:pPr>
        <w:pStyle w:val="Title"/>
      </w:pPr>
      <w:r>
        <w:t>Engl. transl.: Sex under the age of 25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https://seksonderje25e.nl/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Sexual health of youth in the Netherlands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74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2025-11-03T14:29:02+00:00</dcterms:created>
  <dcterms:modified xsi:type="dcterms:W3CDTF">2025-11-03T14:29:02+00:00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