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Seks onder je 25e</w:t>
      </w:r>
    </w:p>
    <w:p>
      <w:pPr>
        <w:pStyle w:val="Title"/>
      </w:pPr>
      <w:r>
        <w:t>Engl. transl.: Sex under the age of 25</w:t>
      </w:r>
    </w:p>
    <w:p>
      <w:pPr>
        <w:pStyle w:val="Heading1"/>
      </w:pPr>
      <w:bookmarkStart w:id="1" w:name="_Toc3"/>
      <w:r>
        <w:t>Details</w:t>
      </w:r>
      <w:bookmarkEnd w:id="1"/>
    </w:p>
    <w:p>
      <w:pPr>
        <w:pStyle w:val="Heading2"/>
      </w:pPr>
      <w:bookmarkStart w:id="2" w:name="_Toc4"/>
      <w:r>
        <w:t>Year</w:t>
      </w:r>
      <w:bookmarkEnd w:id="2"/>
    </w:p>
    <w:p>
      <w:pPr/>
      <w:r>
        <w:rPr/>
        <w:t xml:space="preserve">2021</w:t>
      </w:r>
    </w:p>
    <w:p>
      <w:pPr>
        <w:pStyle w:val="Heading2"/>
      </w:pPr>
      <w:bookmarkStart w:id="3" w:name="_Toc5"/>
      <w:r>
        <w:t>Scope</w:t>
      </w:r>
      <w:bookmarkEnd w:id="3"/>
    </w:p>
    <w:p>
      <w:pPr/>
      <w:r>
        <w:rPr/>
        <w:t xml:space="preserve">National</w:t>
      </w:r>
    </w:p>
    <w:p>
      <w:pPr>
        <w:pStyle w:val="Heading2"/>
      </w:pPr>
      <w:bookmarkStart w:id="4" w:name="_Toc6"/>
      <w:r>
        <w:t>Countries</w:t>
      </w:r>
      <w:bookmarkEnd w:id="4"/>
    </w:p>
    <w:p>
      <w:pPr/>
      <w:r>
        <w:rPr/>
        <w:t xml:space="preserve">Netherlands</w:t>
      </w:r>
    </w:p>
    <w:p>
      <w:pPr>
        <w:pStyle w:val="Heading2"/>
      </w:pPr>
      <w:bookmarkStart w:id="5" w:name="_Toc7"/>
      <w:r>
        <w:t>Type</w:t>
      </w:r>
      <w:bookmarkEnd w:id="5"/>
    </w:p>
    <w:p>
      <w:pPr/>
      <w:r>
        <w:rPr/>
        <w:t xml:space="preserve">Empirical research – Quantitative</w:t>
      </w:r>
    </w:p>
    <w:p>
      <w:pPr>
        <w:pStyle w:val="Heading2"/>
      </w:pPr>
      <w:bookmarkStart w:id="6" w:name="_Toc8"/>
      <w:r>
        <w:t>Methodologies</w:t>
      </w:r>
      <w:bookmarkEnd w:id="6"/>
    </w:p>
    <w:p>
      <w:pPr/>
      <w:r>
        <w:rPr/>
        <w:t xml:space="preserve">Survey</w:t>
      </w:r>
    </w:p>
    <w:p>
      <w:pPr>
        <w:pStyle w:val="Heading2"/>
      </w:pPr>
      <w:bookmarkStart w:id="7" w:name="_Toc9"/>
      <w:r>
        <w:t>Researched Groups</w:t>
      </w:r>
      <w:bookmarkEnd w:id="7"/>
    </w:p>
    <w:p>
      <w:pPr/>
      <w:r>
        <w:rPr/>
        <w:t xml:space="preserve">Children</w:t>
      </w:r>
    </w:p>
    <w:p>
      <w:pPr>
        <w:pStyle w:val="Heading2"/>
      </w:pPr>
      <w:bookmarkStart w:id="8" w:name="_Toc10"/>
      <w:r>
        <w:t>Children Ages</w:t>
      </w:r>
      <w:bookmarkEnd w:id="8"/>
    </w:p>
    <w:p>
      <w:pPr>
        <w:numPr>
          <w:ilvl w:val="0"/>
          <w:numId w:val="5"/>
        </w:numPr>
      </w:pPr>
      <w:r>
        <w:rPr/>
        <w:t xml:space="preserve">Pre-adolescents (11-13 Years old)</w:t>
      </w:r>
    </w:p>
    <w:p>
      <w:pPr>
        <w:numPr>
          <w:ilvl w:val="0"/>
          <w:numId w:val="5"/>
        </w:numPr>
      </w:pPr>
      <w:r>
        <w:rPr/>
        <w:t xml:space="preserve">Adolescents (14-18 Years old)</w:t>
      </w:r>
    </w:p>
    <w:p>
      <w:pPr>
        <w:numPr>
          <w:ilvl w:val="0"/>
          <w:numId w:val="5"/>
        </w:numPr>
      </w:pPr>
      <w:r>
        <w:rPr/>
        <w:t xml:space="preserve">Young adults (19-24 Years old)</w:t>
      </w:r>
    </w:p>
    <w:p>
      <w:pPr>
        <w:pStyle w:val="Heading2"/>
      </w:pPr>
      <w:bookmarkStart w:id="9" w:name="_Toc11"/>
      <w:r>
        <w:t>Informed Consent</w:t>
      </w:r>
      <w:bookmarkEnd w:id="9"/>
    </w:p>
    <w:p>
      <w:pPr/>
      <w:r>
        <w:rPr/>
        <w:t xml:space="preserve">Consent not mentioned</w:t>
      </w:r>
    </w:p>
    <w:p>
      <w:pPr>
        <w:pStyle w:val="Heading2"/>
      </w:pPr>
      <w:bookmarkStart w:id="10" w:name="_Toc12"/>
      <w:r>
        <w:t>Ethics</w:t>
      </w:r>
      <w:bookmarkEnd w:id="10"/>
    </w:p>
    <w:p>
      <w:pPr/>
      <w:r>
        <w:rPr/>
        <w:t xml:space="preserve">Ethical considerations not mentioned</w:t>
      </w:r>
    </w:p>
    <w:p>
      <w:pPr>
        <w:pStyle w:val="Heading2"/>
      </w:pPr>
      <w:bookmarkStart w:id="11" w:name="_Toc13"/>
      <w:r>
        <w:t>URL</w:t>
      </w:r>
      <w:bookmarkEnd w:id="11"/>
    </w:p>
    <w:p>
      <w:pPr/>
      <w:r>
        <w:rPr/>
        <w:t xml:space="preserve">https://seksonderje25e.nl/</w:t>
      </w:r>
    </w:p>
    <w:p>
      <w:pPr>
        <w:pStyle w:val="Heading2"/>
      </w:pPr>
      <w:bookmarkStart w:id="12" w:name="_Toc14"/>
      <w:r>
        <w:t>Data Set Availability</w:t>
      </w:r>
      <w:bookmarkEnd w:id="12"/>
    </w:p>
    <w:p>
      <w:pPr/>
      <w:r>
        <w:rPr/>
        <w:t xml:space="preserve">Not mentioned</w:t>
      </w:r>
    </w:p>
    <w:p>
      <w:pPr>
        <w:pStyle w:val="Heading1"/>
      </w:pPr>
      <w:bookmarkStart w:id="13" w:name="_Toc15"/>
      <w:r>
        <w:t>Goals</w:t>
      </w:r>
      <w:bookmarkEnd w:id="13"/>
    </w:p>
    <w:p>
      <w:pPr/>
      <w:r>
        <w:rPr/>
        <w:t xml:space="preserve">Sexual health of youth in the Netherlands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19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D9714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2024-05-19T01:36:23+00:00</dcterms:created>
  <dcterms:modified xsi:type="dcterms:W3CDTF">2024-05-19T01:36:23+00:00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