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Differenze di genere e utilizzo dei social media</w:t>
      </w:r>
    </w:p>
    <w:p>
      <w:pPr>
        <w:pStyle w:val="Title"/>
      </w:pPr>
      <w:r>
        <w:t>Engl. transl.: Gender differences and social media use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Italy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1"/>
      <w:r>
        <w:t>Informed Consent</w:t>
      </w:r>
      <w:bookmarkEnd w:id="9"/>
    </w:p>
    <w:p>
      <w:pPr/>
      <w:r>
        <w:rPr/>
        <w:t xml:space="preserve">Consent not mentioned</w:t>
      </w:r>
    </w:p>
    <w:p>
      <w:pPr>
        <w:pStyle w:val="Heading2"/>
      </w:pPr>
      <w:bookmarkStart w:id="10" w:name="_Toc12"/>
      <w:r>
        <w:t>Data Set Availability</w:t>
      </w:r>
      <w:bookmarkEnd w:id="10"/>
    </w:p>
    <w:p>
      <w:pPr/>
      <w:r>
        <w:rPr/>
        <w:t xml:space="preserve">Not mentioned</w:t>
      </w:r>
    </w:p>
    <w:p>
      <w:pPr>
        <w:pStyle w:val="Heading1"/>
      </w:pPr>
      <w:bookmarkStart w:id="11" w:name="_Toc13"/>
      <w:r>
        <w:t>Goals</w:t>
      </w:r>
      <w:bookmarkEnd w:id="11"/>
    </w:p>
    <w:p>
      <w:pPr/>
      <w:r>
        <w:rPr/>
        <w:t xml:space="preserve">The goal of this study was to control for gender differences in terms of social media use, as well as social media use and life aspirations.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16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2024-05-16T11:18:49+00:00</dcterms:created>
  <dcterms:modified xsi:type="dcterms:W3CDTF">2024-05-16T11:18:49+00:00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