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ACT ON! Monitoring-Studie 2019</w:t>
      </w:r>
    </w:p>
    <w:p>
      <w:pPr>
        <w:pStyle w:val="Title"/>
      </w:pPr>
      <w:r>
        <w:t>Engl. transl.: ACT ON! Monitoring Study 2019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Bundesministerium für Familie, Senioren, Frauen und Jugend ( BMFSFJ)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https://act-on.jff.de/die-monitoring-studie/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"The study focuses on the receptive and productive use of the platform TikTok by adolescents between the ages of 12 and 14, their motives and self-presentation on TikTok as well as the perceived risks of the platform and their coping strategies in this regard." (Stecher et al., 2020, p. 6; 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2025-10-13T23:37:37+00:00</dcterms:created>
  <dcterms:modified xsi:type="dcterms:W3CDTF">2025-10-13T23:37:37+00:00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