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Cyberlife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Online quantitative methods (e.g. Online survey)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>
        <w:numPr>
          <w:ilvl w:val="0"/>
          <w:numId w:val="5"/>
        </w:numPr>
      </w:pPr>
      <w:r>
        <w:rPr/>
        <w:t xml:space="preserve">Children</w:t>
      </w:r>
    </w:p>
    <w:p>
      <w:pPr>
        <w:numPr>
          <w:ilvl w:val="0"/>
          <w:numId w:val="5"/>
        </w:numPr>
      </w:pPr>
      <w:r>
        <w:rPr/>
        <w:t xml:space="preserve">Parents</w:t>
      </w:r>
    </w:p>
    <w:p>
      <w:pPr>
        <w:numPr>
          <w:ilvl w:val="0"/>
          <w:numId w:val="5"/>
        </w:numPr>
      </w:pPr>
      <w:r>
        <w:rPr/>
        <w:t xml:space="preserve">Teachers / Educators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numPr>
          <w:ilvl w:val="0"/>
          <w:numId w:val="5"/>
        </w:numPr>
      </w:pPr>
      <w:r>
        <w:rPr/>
        <w:t xml:space="preserve">Young adults (19-24 Years old)</w:t>
      </w:r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Bündnis gegen Cybermobbing e.V., Techniker Krankenkasse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4"/>
      <w:r>
        <w:t>URL</w:t>
      </w:r>
      <w:bookmarkEnd w:id="13"/>
    </w:p>
    <w:p>
      <w:pPr/>
      <w:r>
        <w:rPr/>
        <w:t xml:space="preserve">https://www.buendnis-gegen-cybermobbing.de/aktivitaeten/studien.html</w:t>
      </w:r>
    </w:p>
    <w:p>
      <w:pPr>
        <w:pStyle w:val="Heading2"/>
      </w:pPr>
      <w:bookmarkStart w:id="14" w:name="_Toc15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6"/>
      <w:r>
        <w:t>Goals</w:t>
      </w:r>
      <w:bookmarkEnd w:id="15"/>
    </w:p>
    <w:p>
      <w:pPr/>
      <w:r>
        <w:rPr/>
        <w:t xml:space="preserve">"The core topics of study are the following: 
- scope, instruments and motive of internet activities 
- information base and behaviour of three main target groups (parents, teachers, students)
- frequency of cyberbullying 
- preventive actions by schools
- desired information and support
- effects of Covid-19" (Bündnis gegen Cybermobbing e. V. 2020, 8; translated by the coder)
This study is a follow-up study (2013; 2017) to examine the differences over the years.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02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438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2024-05-02T18:48:04+00:00</dcterms:created>
  <dcterms:modified xsi:type="dcterms:W3CDTF">2024-05-02T18:48:04+00:00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