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Аlways with them: smartphone use by children, adolescents, and young adults—characteristics, habits of use, sharing, and satisfaction of needs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Other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+ 18 (was not mentioned exactily)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1"/>
      </w:pPr>
      <w:bookmarkStart w:id="12" w:name="_Toc13"/>
      <w:r>
        <w:t>Goals</w:t>
      </w:r>
      <w:bookmarkEnd w:id="12"/>
    </w:p>
    <w:p>
      <w:pPr/>
      <w:r>
        <w:rPr/>
        <w:t xml:space="preserve">The current study explored the characteristics and habits of usage of smartphones from their perspective, and to examine the relationship between usage habits and the satisfaction of needs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28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2024-04-28T00:49:24+00:00</dcterms:created>
  <dcterms:modified xsi:type="dcterms:W3CDTF">2024-04-28T00:49:24+00:00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