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Kinder-Medien-Studie (KMS) 2019</w:t></w:r></w:p><w:p><w:pPr><w:pStyle w:val="Title"/></w:pPr><w:r><w:t>Engl. transl.: Children-Media-Study (KMS) 2019</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National</w:t></w:r></w:p><w:p><w:pPr><w:pStyle w:val="Heading2"/></w:pPr><w:bookmarkStart w:id="4" w:name="_Toc6"/><w:r><w:t>Countries</w:t></w:r><w:bookmarkEnd w:id="4"/></w:p><w:p><w:pPr/><w:r><w:rPr/><w:t xml:space="preserve">Germany</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numPr><w:ilvl w:val="0"/><w:numId w:val="5"/></w:numPr></w:pPr><w:r><w:rPr/><w:t xml:space="preserve">Preschool (0-5 Years old)</w:t></w:r></w:p><w:p><w:pPr><w:numPr><w:ilvl w:val="0"/><w:numId w:val="5"/></w:numPr></w:pPr><w:r><w:rPr/><w:t xml:space="preserve">Kids (6-10 Years old)</w:t></w:r></w:p><w:p><w:pPr><w:numPr><w:ilvl w:val="0"/><w:numId w:val="5"/></w:numPr></w:pPr><w:r><w:rPr/><w:t xml:space="preserve">Pre-adolescents (11-13 Years old)</w:t></w:r></w:p><w:p><w:pPr><w:pStyle w:val="Heading2"/></w:pPr><w:bookmarkStart w:id="9" w:name="_Toc11"/><w:r><w:t>Funder</w:t></w:r><w:bookmarkEnd w:id="9"/></w:p><w:p><w:pPr/><w:r><w:rPr/><w:t xml:space="preserve">Blue Ocean Entertainment AG, Egmont Ehapa Media GmbH, Gruner + Jahr GmbH & Co KG, Panini Verlags GmbH, SPIEGEL-Verlag, Zeit Verlag</w:t></w:r></w:p><w:p><w:pPr><w:pStyle w:val="Heading2"/></w:pPr><w:bookmarkStart w:id="10" w:name="_Toc12"/><w:r><w:t>Funder Types</w:t></w:r><w:bookmarkEnd w:id="10"/></w:p><w:p><w:pPr/><w:r><w:rPr/><w:t xml:space="preserve">Private industry / Company</w:t></w:r></w:p><w:p><w:pPr><w:pStyle w:val="Heading2"/></w:pPr><w:bookmarkStart w:id="11" w:name="_Toc13"/><w:r><w:t>Consents</w:t></w:r><w:bookmarkEnd w:id="11"/></w:p><w:p><w:pPr><w:pStyle w:val="Heading2"/></w:pPr><w:bookmarkStart w:id="12" w:name="_Toc14"/><w:r><w:t>Informed Consent</w:t></w:r><w:bookmarkEnd w:id="12"/></w:p><w:p><w:pPr/><w:r><w:rPr/><w:t xml:space="preserve">Consent obtained</w:t></w:r></w:p><w:p><w:pPr><w:pStyle w:val="Heading2"/></w:pPr><w:bookmarkStart w:id="13" w:name="_Toc15"/><w:r><w:t>Ethics</w:t></w:r><w:bookmarkEnd w:id="13"/></w:p><w:p><w:pPr/><w:r><w:rPr/><w:t xml:space="preserve">Ethical considerations not mentioned</w:t></w:r></w:p><w:p><w:pPr><w:pStyle w:val="Heading2"/></w:pPr><w:bookmarkStart w:id="14" w:name="_Toc16"/><w:r><w:t>URL</w:t></w:r><w:bookmarkEnd w:id="14"/></w:p><w:p><w:pPr/><w:r><w:rPr/><w:t xml:space="preserve">https://kinder-medien-studie.de/wp-content/uploads/2019/08/KMS2019_Handout.pdf</w:t></w:r></w:p><w:p><w:pPr><w:pStyle w:val="Heading2"/></w:pPr><w:bookmarkStart w:id="15" w:name="_Toc17"/><w:r><w:t>Data Set Availability</w:t></w:r><w:bookmarkEnd w:id="15"/></w:p><w:p><w:pPr/><w:r><w:rPr/><w:t xml:space="preserve">Not mentioned</w:t></w:r></w:p><w:p><w:pPr><w:pStyle w:val="Heading1"/></w:pPr><w:bookmarkStart w:id="16" w:name="_Toc18"/><w:r><w:t>Goals</w:t></w:r><w:bookmarkEnd w:id="16"/></w:p><w:p><w:pPr/><w:r><w:rPr/><w:t xml:space="preserve">"How do children keep a balance between the digital and the analogue world? Do they still talk to each other at all, or does communication take place via chats only? How do children organise their free time? What topics interest the young target group? This study covers all relevant areas of children's lives and deals particularly with their media use in an increasingly digital world. As an objective coverage study with a focus on magazines, the KMS provides a basis for the strategic planning of the media mix in marketing. It also analyses in detail the cross-channel media consumption of children as part of their leisure time activities, provides media use arguments and deals with the topic of media acceptance.  Furthermore, for the first time, the study allows for an evaluation of the children's monthly expenditure on daily allowances." (KinderMedienStudie 2019, 3;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0ED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2025-10-13T23:37:36+00:00</dcterms:created>
  <dcterms:modified xsi:type="dcterms:W3CDTF">2025-10-13T23:37:36+00:00</dcterms:modified>
</cp:coreProperties>
</file>

<file path=docProps/custom.xml><?xml version="1.0" encoding="utf-8"?>
<Properties xmlns="http://schemas.openxmlformats.org/officeDocument/2006/custom-properties" xmlns:vt="http://schemas.openxmlformats.org/officeDocument/2006/docPropsVTypes"/>
</file>