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eSafety and sharing habits with family and friends among children and adolescents</w:t>
      </w:r>
    </w:p>
    <w:p>
      <w:pPr>
        <w:pStyle w:val="Heading1"/>
      </w:pPr>
      <w:bookmarkStart w:id="1" w:name="_Toc2"/>
      <w:r>
        <w:t>Details</w:t>
      </w:r>
      <w:bookmarkEnd w:id="1"/>
    </w:p>
    <w:p>
      <w:pPr>
        <w:pStyle w:val="Heading2"/>
      </w:pPr>
      <w:bookmarkStart w:id="2" w:name="_Toc3"/>
      <w:r>
        <w:t>Year</w:t>
      </w:r>
      <w:bookmarkEnd w:id="2"/>
    </w:p>
    <w:p>
      <w:pPr/>
      <w:r>
        <w:rPr/>
        <w:t xml:space="preserve">Not reported</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Israel</w:t>
      </w:r>
    </w:p>
    <w:p>
      <w:pPr>
        <w:pStyle w:val="Heading2"/>
      </w:pPr>
      <w:bookmarkStart w:id="5" w:name="_Toc6"/>
      <w:r>
        <w:t>Type</w:t>
      </w:r>
      <w:bookmarkEnd w:id="5"/>
    </w:p>
    <w:p>
      <w:pPr/>
      <w:r>
        <w:rPr/>
        <w:t xml:space="preserve">Empirical research – Mixed methods</w:t>
      </w:r>
    </w:p>
    <w:p>
      <w:pPr>
        <w:pStyle w:val="Heading2"/>
      </w:pPr>
      <w:bookmarkStart w:id="6" w:name="_Toc7"/>
      <w:r>
        <w:t>Methodologies</w:t>
      </w:r>
      <w:bookmarkEnd w:id="6"/>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Other</w:t>
      </w:r>
    </w:p>
    <w:p>
      <w:pPr>
        <w:pStyle w:val="Heading2"/>
      </w:pPr>
      <w:bookmarkStart w:id="9" w:name="_Toc10"/>
      <w:r>
        <w:t>Other Childrens Age Group</w:t>
      </w:r>
      <w:bookmarkEnd w:id="9"/>
    </w:p>
    <w:p>
      <w:pPr/>
      <w:r>
        <w:rPr/>
        <w:t xml:space="preserve">8-18 years old</w:t>
      </w:r>
    </w:p>
    <w:p>
      <w:pPr>
        <w:pStyle w:val="Heading2"/>
      </w:pPr>
      <w:bookmarkStart w:id="10" w:name="_Toc11"/>
      <w:r>
        <w:t>Informed Consent</w:t>
      </w:r>
      <w:bookmarkEnd w:id="10"/>
    </w:p>
    <w:p>
      <w:pPr/>
      <w:r>
        <w:rPr/>
        <w:t xml:space="preserve">Consent not mentioned</w:t>
      </w:r>
    </w:p>
    <w:p>
      <w:pPr>
        <w:pStyle w:val="Heading2"/>
      </w:pPr>
      <w:bookmarkStart w:id="11" w:name="_Toc12"/>
      <w:r>
        <w:t>Ethics</w:t>
      </w:r>
      <w:bookmarkEnd w:id="11"/>
    </w:p>
    <w:p>
      <w:pPr/>
      <w:r>
        <w:rPr/>
        <w:t xml:space="preserve">Ethical considerations not mentioned</w:t>
      </w:r>
    </w:p>
    <w:p>
      <w:pPr>
        <w:pStyle w:val="Heading2"/>
      </w:pPr>
      <w:bookmarkStart w:id="12" w:name="_Toc13"/>
      <w:r>
        <w:t>Data Set Availability</w:t>
      </w:r>
      <w:bookmarkEnd w:id="12"/>
    </w:p>
    <w:p>
      <w:pPr/>
      <w:r>
        <w:rPr/>
        <w:t xml:space="preserve">Not mentioned</w:t>
      </w:r>
    </w:p>
    <w:p>
      <w:pPr>
        <w:pStyle w:val="Heading1"/>
      </w:pPr>
      <w:bookmarkStart w:id="13" w:name="_Toc14"/>
      <w:r>
        <w:t>Goals</w:t>
      </w:r>
      <w:bookmarkEnd w:id="13"/>
    </w:p>
    <w:p>
      <w:pPr/>
      <w:r>
        <w:rPr/>
        <w:t xml:space="preserve">The aim of this study was to examine eSafety, children’s and teenagers’ awareness of safe browsing, identify their Internet usage patterns, their habits of sharing their surfing experiences with parents and family, and the relationship between usage patterns, sharing habits, and socio-demographic attributes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2024-05-19T20:56:18+00:00</dcterms:created>
  <dcterms:modified xsi:type="dcterms:W3CDTF">2024-05-19T20:56:18+00:00</dcterms:modified>
</cp:coreProperties>
</file>

<file path=docProps/custom.xml><?xml version="1.0" encoding="utf-8"?>
<Properties xmlns="http://schemas.openxmlformats.org/officeDocument/2006/custom-properties" xmlns:vt="http://schemas.openxmlformats.org/officeDocument/2006/docPropsVTypes"/>
</file>