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2015: Jugend, Information, (Multi-) Media</w:t>
      </w:r>
    </w:p>
    <w:p>
      <w:pPr>
        <w:pStyle w:val="Title"/>
      </w:pPr>
      <w:r>
        <w:t>Engl. transl.: JIM 2015: Youth, information, (multi) media</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https://www.mpfs.de/studien/jim-studie/2015/</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"Young people have to think about the importance they attach to media use in everyday life, how and when they want to use a smartphone and where it may also be a nuisance. The factual monopoly of Internet communication by a few providers also leaves little choice in terms of services; Without the decision to disclose data, it is hardly possible to use mass-attractive services. In order to be able to understand the media world of young people under the precondition of the now obligatory 'always on', it is important from the adult point of view to first record what young people actually do online and which of the many usage options are relevant for young people in everyday life. Mobile Internet use, which enables access to online offers almost anywhere and at any time, opens up a multitude of new usage scenarios. The extent to which this expanded offer affects the use and importance of other media and how, against this background, for example, the information behavior on various areas of interest, are the questions of the current JIM study 2015.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2025-10-16T17:25:12+00:00</dcterms:created>
  <dcterms:modified xsi:type="dcterms:W3CDTF">2025-10-16T17:25:12+00:00</dcterms:modified>
</cp:coreProperties>
</file>

<file path=docProps/custom.xml><?xml version="1.0" encoding="utf-8"?>
<Properties xmlns="http://schemas.openxmlformats.org/officeDocument/2006/custom-properties" xmlns:vt="http://schemas.openxmlformats.org/officeDocument/2006/docPropsVTypes"/>
</file>