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JIM 2015: Jugend, Information, (Multi-) Media</w:t>
      </w:r>
    </w:p>
    <w:p>
      <w:pPr>
        <w:pStyle w:val="Title"/>
      </w:pPr>
      <w:r>
        <w:t>Engl. transl.: JIM 2015: Youth, information, (multi) media</w:t>
      </w:r>
    </w:p>
    <w:p>
      <w:pPr>
        <w:pStyle w:val="Heading1"/>
      </w:pPr>
      <w:bookmarkStart w:id="1" w:name="_Toc3"/>
      <w:r>
        <w:t>Details</w:t>
      </w:r>
      <w:bookmarkEnd w:id="1"/>
    </w:p>
    <w:p>
      <w:pPr>
        <w:pStyle w:val="Heading2"/>
      </w:pPr>
      <w:bookmarkStart w:id="2" w:name="_Toc4"/>
      <w:r>
        <w:t>Year</w:t>
      </w:r>
      <w:bookmarkEnd w:id="2"/>
    </w:p>
    <w:p>
      <w:pPr/>
      <w:r>
        <w:rPr/>
        <w:t xml:space="preserve">2015</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Germany</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r>
        <w:rPr/>
        <w:t xml:space="preserve">Survey</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Funder</w:t>
      </w:r>
      <w:bookmarkEnd w:id="9"/>
    </w:p>
    <w:p>
      <w:pPr/>
      <w:r>
        <w:rPr/>
        <w:t xml:space="preserve">Landesanstalt für Kommunikation Baden-Württemberg (LFK), Landeszentrale für Medien und Kommunikation Rheinland-Pfalz (LMK)</w:t>
      </w:r>
    </w:p>
    <w:p>
      <w:pPr>
        <w:pStyle w:val="Heading2"/>
      </w:pPr>
      <w:bookmarkStart w:id="10" w:name="_Toc12"/>
      <w:r>
        <w:t>Funder Types</w:t>
      </w:r>
      <w:bookmarkEnd w:id="10"/>
    </w:p>
    <w:p>
      <w:pPr/>
      <w:r>
        <w:rPr/>
        <w:t xml:space="preserve">Regional Government</w:t>
      </w:r>
    </w:p>
    <w:p>
      <w:pPr>
        <w:pStyle w:val="Heading2"/>
      </w:pPr>
      <w:bookmarkStart w:id="11" w:name="_Toc13"/>
      <w:r>
        <w:t>Informed Consent</w:t>
      </w:r>
      <w:bookmarkEnd w:id="11"/>
    </w:p>
    <w:p>
      <w:pPr/>
      <w:r>
        <w:rPr/>
        <w:t xml:space="preserve">Consent obtained</w:t>
      </w:r>
    </w:p>
    <w:p>
      <w:pPr>
        <w:pStyle w:val="Heading2"/>
      </w:pPr>
      <w:bookmarkStart w:id="12" w:name="_Toc14"/>
      <w:r>
        <w:t>Ethics</w:t>
      </w:r>
      <w:bookmarkEnd w:id="12"/>
    </w:p>
    <w:p>
      <w:pPr/>
      <w:r>
        <w:rPr/>
        <w:t xml:space="preserve">Ethical considerations not mentioned</w:t>
      </w:r>
    </w:p>
    <w:p>
      <w:pPr>
        <w:pStyle w:val="Heading2"/>
      </w:pPr>
      <w:bookmarkStart w:id="13" w:name="_Toc15"/>
      <w:r>
        <w:t>URL</w:t>
      </w:r>
      <w:bookmarkEnd w:id="13"/>
    </w:p>
    <w:p>
      <w:pPr/>
      <w:r>
        <w:rPr/>
        <w:t xml:space="preserve">https://www.mpfs.de/studien/jim-studie/2015/</w:t>
      </w:r>
    </w:p>
    <w:p>
      <w:pPr>
        <w:pStyle w:val="Heading2"/>
      </w:pPr>
      <w:bookmarkStart w:id="14" w:name="_Toc16"/>
      <w:r>
        <w:t>Data Set Availability</w:t>
      </w:r>
      <w:bookmarkEnd w:id="14"/>
    </w:p>
    <w:p>
      <w:pPr/>
      <w:r>
        <w:rPr/>
        <w:t xml:space="preserve">Not mentioned</w:t>
      </w:r>
    </w:p>
    <w:p>
      <w:pPr>
        <w:pStyle w:val="Heading1"/>
      </w:pPr>
      <w:bookmarkStart w:id="15" w:name="_Toc17"/>
      <w:r>
        <w:t>Goals</w:t>
      </w:r>
      <w:bookmarkEnd w:id="15"/>
    </w:p>
    <w:p>
      <w:pPr/>
      <w:r>
        <w:rPr/>
        <w:t xml:space="preserve">"Young people have to think about the importance they attach to media use in everyday life, how and when they want to use a smartphone and where it may also be a nuisance. The factual monopoly of Internet communication by a few providers also leaves little choice in terms of services; Without the decision to disclose data, it is hardly possible to use mass-attractive services. In order to be able to understand the media world of young people under the precondition of the now obligatory 'always on', it is important from the adult point of view to first record what young people actually do online and which of the many usage options are relevant for young people in everyday life. Mobile Internet use, which enables access to online offers almost anywhere and at any time, opens up a multitude of new usage scenarios. The extent to which this expanded offer affects the use and importance of other media and how, against this background, for example, the information behavior on various areas of interest, are the questions of the current JIM study 2015.</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2024-05-19T20:56:20+00:00</dcterms:created>
  <dcterms:modified xsi:type="dcterms:W3CDTF">2024-05-19T20:56:20+00:00</dcterms:modified>
</cp:coreProperties>
</file>

<file path=docProps/custom.xml><?xml version="1.0" encoding="utf-8"?>
<Properties xmlns="http://schemas.openxmlformats.org/officeDocument/2006/custom-properties" xmlns:vt="http://schemas.openxmlformats.org/officeDocument/2006/docPropsVTypes"/>
</file>