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HBSC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Israel</w:t>
      </w:r>
    </w:p>
    <w:p>
      <w:pPr>
        <w:numPr>
          <w:ilvl w:val="0"/>
          <w:numId w:val="5"/>
        </w:numPr>
      </w:pPr>
      <w:r>
        <w:rPr/>
        <w:t xml:space="preserve">Luxembourg</w:t>
      </w:r>
    </w:p>
    <w:p>
      <w:pPr>
        <w:numPr>
          <w:ilvl w:val="0"/>
          <w:numId w:val="5"/>
        </w:numPr>
      </w:pPr>
      <w:r>
        <w:rPr/>
        <w:t xml:space="preserve">Lithuania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15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HBSC and WHO Europe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European Union / Commission</w:t>
      </w:r>
    </w:p>
    <w:p>
      <w:pPr>
        <w:pStyle w:val="Heading2"/>
      </w:pPr>
      <w:bookmarkStart w:id="12" w:name="_Toc13"/>
      <w:r>
        <w:t>Has Formal Ethical Clearance</w:t>
      </w:r>
      <w:bookmarkEnd w:id="12"/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not mentioned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URL</w:t>
      </w:r>
      <w:bookmarkEnd w:id="15"/>
    </w:p>
    <w:p>
      <w:pPr/>
      <w:r>
        <w:rPr/>
        <w:t xml:space="preserve">http://www.hbsc.org/</w:t>
      </w:r>
    </w:p>
    <w:p>
      <w:pPr>
        <w:pStyle w:val="Heading2"/>
      </w:pPr>
      <w:bookmarkStart w:id="16" w:name="_Toc17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8"/>
      <w:r>
        <w:t>Goals</w:t>
      </w:r>
      <w:bookmarkEnd w:id="17"/>
    </w:p>
    <w:p>
      <w:pPr/>
      <w:r>
        <w:rPr/>
        <w:t xml:space="preserve">The aim of the current study is to analyze the prevalence of bullying and cyberbullying and their
association with suicidal behavior among school-aged children in Israel, Lithuania, and Luxembourg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A0C3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2025-10-20T16:48:24+00:00</dcterms:created>
  <dcterms:modified xsi:type="dcterms:W3CDTF">2025-10-20T16:48:24+00:00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