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Kinder-Medien-Studie (KMS) 2017</w:t></w:r></w:p><w:p><w:pPr><w:pStyle w:val="Title"/></w:pPr><w:r><w:t>Engl. transl.: Children-Media-Study (KMS) 2017</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Scope</w:t></w:r><w:bookmarkEnd w:id="3"/></w:p><w:p><w:pPr/><w:r><w:rPr/><w:t xml:space="preserve">National</w:t></w:r></w:p><w:p><w:pPr><w:pStyle w:val="Heading2"/></w:pPr><w:bookmarkStart w:id="4" w:name="_Toc6"/><w:r><w:t>Countries</w:t></w:r><w:bookmarkEnd w:id="4"/></w:p><w:p><w:pPr/><w:r><w:rPr/><w:t xml:space="preserve">Germany</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numPr><w:ilvl w:val="0"/><w:numId w:val="5"/></w:numPr></w:pPr><w:r><w:rPr/><w:t xml:space="preserve">Preschool (0-5 Years old)</w:t></w:r></w:p><w:p><w:pPr><w:numPr><w:ilvl w:val="0"/><w:numId w:val="5"/></w:numPr></w:pPr><w:r><w:rPr/><w:t xml:space="preserve">Kids (6-10 Years old)</w:t></w:r></w:p><w:p><w:pPr><w:numPr><w:ilvl w:val="0"/><w:numId w:val="5"/></w:numPr></w:pPr><w:r><w:rPr/><w:t xml:space="preserve">Pre-adolescents (11-13 Years old)</w:t></w:r></w:p><w:p><w:pPr><w:pStyle w:val="Heading2"/></w:pPr><w:bookmarkStart w:id="9" w:name="_Toc11"/><w:r><w:t>Funder</w:t></w:r><w:bookmarkEnd w:id="9"/></w:p><w:p><w:pPr/><w:r><w:rPr/><w:t xml:space="preserve">Blue Ocean Entertainment AG, Egmont Ehapa Media GmbH, Gruner + Jahr GmbH & Co KG, Panini Verlags GmbH, SPIEGEL-Verlag, Zeit Verlag</w:t></w:r></w:p><w:p><w:pPr><w:pStyle w:val="Heading2"/></w:pPr><w:bookmarkStart w:id="10" w:name="_Toc12"/><w:r><w:t>Funder Types</w:t></w:r><w:bookmarkEnd w:id="10"/></w:p><w:p><w:pPr/><w:r><w:rPr/><w:t xml:space="preserve">Private industry / Company</w:t></w:r></w:p><w:p><w:pPr><w:pStyle w:val="Heading2"/></w:pPr><w:bookmarkStart w:id="11" w:name="_Toc13"/><w:r><w:t>Informed Consent</w:t></w:r><w:bookmarkEnd w:id="11"/></w:p><w:p><w:pPr/><w:r><w:rPr/><w:t xml:space="preserve">Consent not mentioned</w:t></w:r></w:p><w:p><w:pPr><w:pStyle w:val="Heading2"/></w:pPr><w:bookmarkStart w:id="12" w:name="_Toc14"/><w:r><w:t>Ethics</w:t></w:r><w:bookmarkEnd w:id="12"/></w:p><w:p><w:pPr/><w:r><w:rPr/><w:t xml:space="preserve">Ethical considerations not mentioned</w:t></w:r></w:p><w:p><w:pPr><w:pStyle w:val="Heading1"/></w:pPr><w:bookmarkStart w:id="13" w:name="_Toc15"/><w:r><w:t>Goals</w:t></w:r><w:bookmarkEnd w:id="13"/></w:p><w:p><w:pPr/><w:r><w:rPr/><w:t xml:space="preserve">"The study aims to investigate which media are consumed by 7.17 million children between the ages of four and 13 in Germany. It sheds light on how and how often they use these media, how they generally organise their leisure time, whether there are differences in online and offline behaviour and what roles parents and friends play." (Gruner+Jahr 2017, n. P;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3DF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2025-11-07T04:01:15+00:00</dcterms:created>
  <dcterms:modified xsi:type="dcterms:W3CDTF">2025-11-07T04:01:15+00:00</dcterms:modified>
</cp:coreProperties>
</file>

<file path=docProps/custom.xml><?xml version="1.0" encoding="utf-8"?>
<Properties xmlns="http://schemas.openxmlformats.org/officeDocument/2006/custom-properties" xmlns:vt="http://schemas.openxmlformats.org/officeDocument/2006/docPropsVTypes"/>
</file>