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Facebook's contribution to well-being among adolescent and young adults as a function of mental resilience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Not reported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Local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Israel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Quantitative</w:t>
      </w:r>
    </w:p>
    <w:p>
      <w:pPr>
        <w:pStyle w:val="Heading2"/>
      </w:pPr>
      <w:bookmarkStart w:id="6" w:name="_Toc7"/>
      <w:r>
        <w:t>Methodologies</w:t>
      </w:r>
      <w:bookmarkEnd w:id="6"/>
    </w:p>
    <w:p>
      <w:pPr/>
      <w:r>
        <w:rPr/>
        <w:t xml:space="preserve">Survey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>
        <w:pStyle w:val="Heading2"/>
      </w:pPr>
      <w:bookmarkStart w:id="8" w:name="_Toc9"/>
      <w:r>
        <w:t>Other Researched Group</w:t>
      </w:r>
      <w:bookmarkEnd w:id="8"/>
    </w:p>
    <w:p>
      <w:pPr/>
      <w:r>
        <w:rPr/>
        <w:t xml:space="preserve">young adults</w:t>
      </w:r>
    </w:p>
    <w:p>
      <w:pPr>
        <w:pStyle w:val="Heading2"/>
      </w:pPr>
      <w:bookmarkStart w:id="9" w:name="_Toc10"/>
      <w:r>
        <w:t>Children Ages</w:t>
      </w:r>
      <w:bookmarkEnd w:id="9"/>
    </w:p>
    <w:p>
      <w:pPr/>
      <w:r>
        <w:rPr/>
        <w:t xml:space="preserve">Other</w:t>
      </w:r>
    </w:p>
    <w:p>
      <w:pPr>
        <w:pStyle w:val="Heading2"/>
      </w:pPr>
      <w:bookmarkStart w:id="10" w:name="_Toc11"/>
      <w:r>
        <w:t>Other Childrens Age Group</w:t>
      </w:r>
      <w:bookmarkEnd w:id="10"/>
    </w:p>
    <w:p>
      <w:pPr/>
      <w:r>
        <w:rPr/>
        <w:t xml:space="preserve">13-26 years old</w:t>
      </w:r>
    </w:p>
    <w:p>
      <w:pPr>
        <w:pStyle w:val="Heading2"/>
      </w:pPr>
      <w:bookmarkStart w:id="11" w:name="_Toc12"/>
      <w:r>
        <w:t>Informed Consent</w:t>
      </w:r>
      <w:bookmarkEnd w:id="11"/>
    </w:p>
    <w:p>
      <w:pPr/>
      <w:r>
        <w:rPr/>
        <w:t xml:space="preserve">Consent not mentioned</w:t>
      </w:r>
    </w:p>
    <w:p>
      <w:pPr>
        <w:pStyle w:val="Heading2"/>
      </w:pPr>
      <w:bookmarkStart w:id="12" w:name="_Toc13"/>
      <w:r>
        <w:t>Ethics</w:t>
      </w:r>
      <w:bookmarkEnd w:id="12"/>
    </w:p>
    <w:p>
      <w:pPr/>
      <w:r>
        <w:rPr/>
        <w:t xml:space="preserve">Ethical considerations not mentioned</w:t>
      </w:r>
    </w:p>
    <w:p>
      <w:pPr>
        <w:pStyle w:val="Heading2"/>
      </w:pPr>
      <w:bookmarkStart w:id="13" w:name="_Toc14"/>
      <w:r>
        <w:t>Data Set Availability</w:t>
      </w:r>
      <w:bookmarkEnd w:id="13"/>
    </w:p>
    <w:p>
      <w:pPr/>
      <w:r>
        <w:rPr/>
        <w:t xml:space="preserve">Not mentioned</w:t>
      </w:r>
    </w:p>
    <w:p>
      <w:pPr>
        <w:pStyle w:val="Heading1"/>
      </w:pPr>
      <w:bookmarkStart w:id="14" w:name="_Toc15"/>
      <w:r>
        <w:t>Goals</w:t>
      </w:r>
      <w:bookmarkEnd w:id="14"/>
    </w:p>
    <w:p>
      <w:pPr/>
      <w:r>
        <w:rPr/>
        <w:t xml:space="preserve">The present study aimed to elucidate the relationship between Facebook use and psychological wellbeing,
with mental resilience expected to moderate the relationship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16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2025-04-16T07:51:33+00:00</dcterms:created>
  <dcterms:modified xsi:type="dcterms:W3CDTF">2025-04-16T07:51:33+00:00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