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Israeli and US Gangs in the Virtual World: The Sociocultural Context of Gang Members’ Online Activity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2010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Other</w:t>
      </w:r>
    </w:p>
    <w:p>
      <w:pPr>
        <w:pStyle w:val="Heading2"/>
      </w:pPr>
      <w:bookmarkStart w:id="8" w:name="_Toc9"/>
      <w:r>
        <w:t>Other Researched Group</w:t>
      </w:r>
      <w:bookmarkEnd w:id="8"/>
    </w:p>
    <w:p>
      <w:pPr/>
      <w:r>
        <w:rPr/>
        <w:t xml:space="preserve">young adults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Other</w:t>
      </w:r>
    </w:p>
    <w:p>
      <w:pPr>
        <w:pStyle w:val="Heading2"/>
      </w:pPr>
      <w:bookmarkStart w:id="10" w:name="_Toc11"/>
      <w:r>
        <w:t>Other Childrens Age Group</w:t>
      </w:r>
      <w:bookmarkEnd w:id="10"/>
    </w:p>
    <w:p>
      <w:pPr/>
      <w:r>
        <w:rPr/>
        <w:t xml:space="preserve">18-26 years old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This study examines the differences and similarities in online behavior and criminal activity between gang members in the US and Israel.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2025-10-20T20:34:26+00:00</dcterms:created>
  <dcterms:modified xsi:type="dcterms:W3CDTF">2025-10-20T20:34:26+00:00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