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Cyberbullying in Greek adolescents: The role of parents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2012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Greece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><w:pStyle w:val="Heading2"/></w:pPr><w:bookmarkStart w:id="9" w:name="_Toc10"/><w:r><w:t>Informed Consent</w:t></w:r><w:bookmarkEnd w:id="9"/></w:p><w:p><w:pPr/><w:r><w:rPr/><w:t xml:space="preserve">Consent not mentioned</w:t></w:r></w:p><w:p><w:pPr><w:pStyle w:val="Heading1"/></w:pPr><w:bookmarkStart w:id="10" w:name="_Toc11"/><w:r><w:t>Goals</w:t></w:r><w:bookmarkEnd w:id="10"/></w:p><w:p><w:pPr/><w:r><w:rPr/><w:t xml:space="preserve">The aim of the study was to examine whether parenting style and gender predict adolescents’ cyberbullying and cybervictimization (Makri-Botsari & Karagianni 2014: 3244).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2025-10-27T01:09:59+00:00</dcterms:created>
  <dcterms:modified xsi:type="dcterms:W3CDTF">2025-10-27T01:09:59+00:00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