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2020: Jugend, Information, (Multi-) Media Basisstudie zum Medienumgang 12- bis 19-Jähriger in Deutschland</w:t>
      </w:r>
    </w:p>
    <w:p>
      <w:pPr>
        <w:pStyle w:val="Title"/>
      </w:pPr>
      <w:r>
        <w:t>Engl. transl.: JIM 2020: Youth, information, (multi-) media study on the use of media by 12 to 19 year olds in Germany</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https://www.mpfs.de/studien/jim-studie/2020/</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JIM study 2020 deals with the use of media in schools and for schools under the conditions of the pandemic. Because even in the summer of 2020, the everyday life of twelve to 19-year-olds was still under the auspices of Corona. Only twelve percent of the students had regular lessons, 69 percent were only at school temporarily and 16 percent were still or only at home again. In addition to the effects on everyday school life, the general situation of the young people was also recorded.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2025-10-28T05:52:06+00:00</dcterms:created>
  <dcterms:modified xsi:type="dcterms:W3CDTF">2025-10-28T05:52:06+00:00</dcterms:modified>
</cp:coreProperties>
</file>

<file path=docProps/custom.xml><?xml version="1.0" encoding="utf-8"?>
<Properties xmlns="http://schemas.openxmlformats.org/officeDocument/2006/custom-properties" xmlns:vt="http://schemas.openxmlformats.org/officeDocument/2006/docPropsVTypes"/>
</file>