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Peer selection and influence: Students’ interest-driven socio- digital participation and friendship networks</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Finland</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Pre-adolescents (11-13 Years old)</w:t>
      </w:r>
    </w:p>
    <w:p>
      <w:pPr>
        <w:pStyle w:val="Heading2"/>
      </w:pPr>
      <w:bookmarkStart w:id="9" w:name="_Toc10"/>
      <w:r>
        <w:t>Funder</w:t>
      </w:r>
      <w:bookmarkEnd w:id="9"/>
    </w:p>
    <w:p>
      <w:pPr/>
      <w:r>
        <w:rPr/>
        <w:t xml:space="preserve">Finnish Cultural Foundation; Academy of Finland; Strategic Research Council</w:t>
      </w:r>
    </w:p>
    <w:p>
      <w:pPr>
        <w:pStyle w:val="Heading2"/>
      </w:pPr>
      <w:bookmarkStart w:id="10" w:name="_Toc11"/>
      <w:r>
        <w:t>Funder Types</w:t>
      </w:r>
      <w:bookmarkEnd w:id="10"/>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Students’ peer selection and the influence effects of the intensity of their ISDP and friendship networks. To provide "insights into possible selection and influence processes among peers related to ISDP within grade networks".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2025-10-17T01:10:55+00:00</dcterms:created>
  <dcterms:modified xsi:type="dcterms:W3CDTF">2025-10-17T01:10:55+00:00</dcterms:modified>
</cp:coreProperties>
</file>

<file path=docProps/custom.xml><?xml version="1.0" encoding="utf-8"?>
<Properties xmlns="http://schemas.openxmlformats.org/officeDocument/2006/custom-properties" xmlns:vt="http://schemas.openxmlformats.org/officeDocument/2006/docPropsVTypes"/>
</file>