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Pathological Internet use, cyberbullying and mobile phone use in adolescence: a school-based study in Greece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1"/>
      </w:pPr>
      <w:bookmarkStart w:id="13" w:name="_Toc14"/>
      <w:r>
        <w:t>Goals</w:t>
      </w:r>
      <w:bookmarkEnd w:id="13"/>
    </w:p>
    <w:p>
      <w:pPr/>
      <w:r>
        <w:rPr/>
        <w:t xml:space="preserve">Therefore, this study aimed at investigating the prevalence of IA and cyberbullying behaviors, their possible association, and also in providing profiles of the adolescents with increased risk to develop IA and cyberbullying behaviors, taking into consideration demographics, Internet activities and Internet access, including the use of mobile phones. (p.2)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2025-10-23T09:47:42+00:00</dcterms:created>
  <dcterms:modified xsi:type="dcterms:W3CDTF">2025-10-23T09:47:42+00:00</dcterms:modified>
</cp:coreProperties>
</file>

<file path=docProps/custom.xml><?xml version="1.0" encoding="utf-8"?>
<Properties xmlns="http://schemas.openxmlformats.org/officeDocument/2006/custom-properties" xmlns:vt="http://schemas.openxmlformats.org/officeDocument/2006/docPropsVTypes"/>
</file>