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framework for children's participation in online environments</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Finland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Textual / documentary / content analysis</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Funder</w:t>
      </w:r>
      <w:bookmarkEnd w:id="9"/>
    </w:p>
    <w:p>
      <w:pPr/>
      <w:r>
        <w:rPr/>
        <w:t xml:space="preserve">Finnish Cultural Foundation and the Department of Social Sciences and Philosophy, University of Jyväskylä</w:t>
      </w:r>
    </w:p>
    <w:p>
      <w:pPr>
        <w:pStyle w:val="Heading2"/>
      </w:pPr>
      <w:bookmarkStart w:id="10" w:name="_Toc11"/>
      <w:r>
        <w:t>Funder Types</w:t>
      </w:r>
      <w:bookmarkEnd w:id="10"/>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effects of online environments on the daily lives of children. 
"The aim of this study is to explore the perceived effects of using the online environments on children's everyday lives and the opportunities and risks of online environments for children. Thus, the aim is to complement the previous, partly contradictory results with new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66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2025-10-16T05:15:33+00:00</dcterms:created>
  <dcterms:modified xsi:type="dcterms:W3CDTF">2025-10-16T05:15:33+00:00</dcterms:modified>
</cp:coreProperties>
</file>

<file path=docProps/custom.xml><?xml version="1.0" encoding="utf-8"?>
<Properties xmlns="http://schemas.openxmlformats.org/officeDocument/2006/custom-properties" xmlns:vt="http://schemas.openxmlformats.org/officeDocument/2006/docPropsVTypes"/>
</file>