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Research into young people’s mental health in the Autonomous Province of Vojvodina – state of affairs and perspectives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2017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Serbia</w:t></w:r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/><w:r><w:rPr/><w:t xml:space="preserve">Survey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/><w:r><w:rPr/><w:t xml:space="preserve">Other</w:t></w:r></w:p><w:p><w:pPr><w:pStyle w:val="Heading2"/></w:pPr><w:bookmarkStart w:id="9" w:name="_Toc10"/><w:r><w:t>Other Childrens Age Group</w:t></w:r><w:bookmarkEnd w:id="9"/></w:p><w:p><w:pPr/><w:r><w:rPr/><w:t xml:space="preserve">16-18 years old</w:t></w:r></w:p><w:p><w:pPr><w:pStyle w:val="Heading2"/></w:pPr><w:bookmarkStart w:id="10" w:name="_Toc11"/><w:r><w:t>Funder</w:t></w:r><w:bookmarkEnd w:id="10"/></w:p><w:p><w:pPr/><w:r><w:rPr/><w:t xml:space="preserve">Vojvodina Provincial Secretariat for Sports and Youth, Serbia</w:t></w:r></w:p><w:p><w:pPr><w:pStyle w:val="Heading2"/></w:pPr><w:bookmarkStart w:id="11" w:name="_Toc12"/><w:r><w:t>Funder Types</w:t></w:r><w:bookmarkEnd w:id="11"/></w:p><w:p><w:pPr/><w:r><w:rPr/><w:t xml:space="preserve">National Government / Ministry</w:t></w:r></w:p><w:p><w:pPr><w:pStyle w:val="Heading2"/></w:pPr><w:bookmarkStart w:id="12" w:name="_Toc13"/><w:r><w:t>Has Formal Ethical Clearance</w:t></w:r><w:bookmarkEnd w:id="12"/></w:p><w:p><w:pPr><w:pStyle w:val="Heading2"/></w:pPr><w:bookmarkStart w:id="13" w:name="_Toc14"/><w:r><w:t>Consents</w:t></w:r><w:bookmarkEnd w:id="13"/></w:p><w:p><w:pPr><w:numPr><w:ilvl w:val="0"/><w:numId w:val="5"/></w:numPr></w:pPr><w:r><w:rPr/><w:t xml:space="preserve">Consent obtained from teachers / caretakers</w:t></w:r></w:p><w:p><w:pPr><w:numPr><w:ilvl w:val="0"/><w:numId w:val="5"/></w:numPr></w:pPr><w:r><w:rPr/><w:t xml:space="preserve">Consent obtained from children</w:t></w:r></w:p><w:p><w:pPr><w:numPr><w:ilvl w:val="0"/><w:numId w:val="5"/></w:numPr></w:pPr><w:r><w:rPr/><w:t xml:space="preserve">Consent obtained from school officials / principal</w:t></w:r></w:p><w:p><w:pPr><w:pStyle w:val="Heading2"/></w:pPr><w:bookmarkStart w:id="14" w:name="_Toc15"/><w:r><w:t>Informed Consent</w:t></w:r><w:bookmarkEnd w:id="14"/></w:p><w:p><w:pPr/><w:r><w:rPr/><w:t xml:space="preserve">Consent obtained</w:t></w:r></w:p><w:p><w:pPr><w:pStyle w:val="Heading2"/></w:pPr><w:bookmarkStart w:id="15" w:name="_Toc16"/><w:r><w:t>Ethics</w:t></w:r><w:bookmarkEnd w:id="15"/></w:p><w:p><w:pPr/><w:r><w:rPr/><w:t xml:space="preserve">Ethical considerations and/or protocol mentioned in the research design</w:t></w:r></w:p><w:p><w:pPr><w:pStyle w:val="Heading2"/></w:pPr><w:bookmarkStart w:id="16" w:name="_Toc17"/><w:r><w:t>Data Set Availability</w:t></w:r><w:bookmarkEnd w:id="16"/></w:p><w:p><w:pPr/><w:r><w:rPr/><w:t xml:space="preserve">Not mentioned</w:t></w:r></w:p><w:p><w:pPr><w:pStyle w:val="Heading1"/></w:pPr><w:bookmarkStart w:id="17" w:name="_Toc18"/><w:r><w:t>Goals</w:t></w:r><w:bookmarkEnd w:id="17"/></w:p><w:p><w:pPr/><w:r><w:rPr/><w:t xml:space="preserve">"This paper investigates a model connecting problematic Internet use (PIU) and positive orientation (i.e., life satisfaction, self-esteem, and optimism as its indicators) in an adolescent population." (Hinić,  Zotović, Beara, & Rakić-Bajić, 2020, p. 341)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06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732F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2025-11-06T20:15:34+00:00</dcterms:created>
  <dcterms:modified xsi:type="dcterms:W3CDTF">2025-11-06T20:15:34+00:00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