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Social Participation of Persons with Intellectual Disability</w:t></w:r></w:p><w:p><w:pPr><w:pStyle w:val="Heading1"/></w:pPr><w:bookmarkStart w:id="1" w:name="_Toc2"/><w:r><w:t>Details</w:t></w:r><w:bookmarkEnd w:id="1"/></w:p><w:p><w:pPr><w:pStyle w:val="Heading2"/></w:pPr><w:bookmarkStart w:id="2" w:name="_Toc3"/><w:r><w:t>Year</w:t></w:r><w:bookmarkEnd w:id="2"/></w:p><w:p><w:pPr/><w:r><w:rPr/><w:t xml:space="preserve">Not reported</w:t></w:r></w:p><w:p><w:pPr><w:pStyle w:val="Heading2"/></w:pPr><w:bookmarkStart w:id="3" w:name="_Toc4"/><w:r><w:t>Scope</w:t></w:r><w:bookmarkEnd w:id="3"/></w:p><w:p><w:pPr/><w:r><w:rPr/><w:t xml:space="preserve">Local</w:t></w:r></w:p><w:p><w:pPr><w:pStyle w:val="Heading2"/></w:pPr><w:bookmarkStart w:id="4" w:name="_Toc5"/><w:r><w:t>Countries</w:t></w:r><w:bookmarkEnd w:id="4"/></w:p><w:p><w:pPr/><w:r><w:rPr/><w:t xml:space="preserve">Serbia</w:t></w:r></w:p><w:p><w:pPr><w:pStyle w:val="Heading2"/></w:pPr><w:bookmarkStart w:id="5" w:name="_Toc6"/><w:r><w:t>Type</w:t></w:r><w:bookmarkEnd w:id="5"/></w:p><w:p><w:pPr/><w:r><w:rPr/><w:t xml:space="preserve">Empirical research – Quantitative</w:t></w:r></w:p><w:p><w:pPr><w:pStyle w:val="Heading2"/></w:pPr><w:bookmarkStart w:id="6" w:name="_Toc7"/><w:r><w:t>Funder</w:t></w:r><w:bookmarkEnd w:id="6"/></w:p><w:p><w:pPr/><w:r><w:rPr/><w:t xml:space="preserve">Ministry of Education, Science, and Technological Development of the Republic of Serbia</w:t></w:r></w:p><w:p><w:pPr><w:pStyle w:val="Heading2"/></w:pPr><w:bookmarkStart w:id="7" w:name="_Toc8"/><w:r><w:t>Funder Types</w:t></w:r><w:bookmarkEnd w:id="7"/></w:p><w:p><w:pPr/><w:r><w:rPr/><w:t xml:space="preserve">National Government / Ministry</w:t></w:r></w:p><w:p><w:pPr><w:pStyle w:val="Heading1"/></w:pPr><w:bookmarkStart w:id="8" w:name="_Toc9"/><w:r><w:t>Goals</w:t></w:r><w:bookmarkEnd w:id="8"/></w:p><w:p><w:pPr/><w:r><w:rPr/><w:t xml:space="preserve">"This study was conducted with the aim to determine the frequency and predictors of problematic mobile phone use in adolescents with mild intellectual disability (MID) and typically developing adolescents (TDA)." (Glumbić, Brojčin,  Žunić-Pavlović, & Đorđević, 2020, p. 359)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2025-10-16T12:54:00+00:00</dcterms:created>
  <dcterms:modified xsi:type="dcterms:W3CDTF">2025-10-16T12:54:00+00:00</dcterms:modified>
</cp:coreProperties>
</file>

<file path=docProps/custom.xml><?xml version="1.0" encoding="utf-8"?>
<Properties xmlns="http://schemas.openxmlformats.org/officeDocument/2006/custom-properties" xmlns:vt="http://schemas.openxmlformats.org/officeDocument/2006/docPropsVTypes"/>
</file>