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Socijalna participacija osoba sa intelektualnom ometenošću i Kriminal u Srbiji: fenomenologija, rizici i mogućnosti socijalne intervencije</w:t></w:r></w:p><w:p><w:pPr><w:pStyle w:val="Title"/></w:pPr><w:r><w:t>Engl. transl.: Social participation of people with intellectual disabilities and Crime in Serbia: phenomenology, risks and possibilities of social intervention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Serbia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14-19 years old</w:t></w:r></w:p><w:p><w:pPr><w:pStyle w:val="Heading2"/></w:pPr><w:bookmarkStart w:id="10" w:name="_Toc12"/><w:r><w:t>Funder</w:t></w:r><w:bookmarkEnd w:id="10"/></w:p><w:p><w:pPr/><w:r><w:rPr/><w:t xml:space="preserve">Ministry of Education, Science and Technological Development of the Republic of Serbia</w:t></w:r></w:p><w:p><w:pPr><w:pStyle w:val="Heading2"/></w:pPr><w:bookmarkStart w:id="11" w:name="_Toc13"/><w:r><w:t>Funder Types</w:t></w:r><w:bookmarkEnd w:id="11"/></w:p><w:p><w:pPr/><w:r><w:rPr/><w:t xml:space="preserve">National Government / Ministry</w:t></w:r></w:p><w:p><w:pPr><w:pStyle w:val="Heading2"/></w:pPr><w:bookmarkStart w:id="12" w:name="_Toc14"/><w:r><w:t>Ethics</w:t></w:r><w:bookmarkEnd w:id="12"/></w:p><w:p><w:pPr/><w:r><w:rPr/><w:t xml:space="preserve">Ethical considerations not mentioned</w:t></w:r></w:p><w:p><w:pPr><w:pStyle w:val="Heading1"/></w:pPr><w:bookmarkStart w:id="13" w:name="_Toc15"/><w:r><w:t>Goals</w:t></w:r><w:bookmarkEnd w:id="13"/></w:p><w:p><w:pPr/><w:r><w:rPr/><w:t xml:space="preserve">"The aim of this paper is to determine the effectiveness and frequency of using restrictive strategies in parental control over a child’s online activities. ." (Matović & Zunić Pavlović, 2020, p. 55)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2025-10-20T09:01:58+00:00</dcterms:created>
  <dcterms:modified xsi:type="dcterms:W3CDTF">2025-10-20T09:01:58+00:00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