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Title"/></w:pPr><w:r><w:t>Socijalna participacija osoba sa intelektualnom ometenošću i Kriminal u Srbiji: fenomenologija, rizici i mogućnosti socijalne intervencije</w:t></w:r></w:p><w:p><w:pPr><w:pStyle w:val="Title"/></w:pPr><w:r><w:t>Engl. transl.: Social participation of people with intellectual disabilities and Crime in Serbia: phenomenology, risks and possibilities of social intervention</w:t></w:r></w:p><w:p><w:pPr><w:pStyle w:val="Heading1"/></w:pPr><w:bookmarkStart w:id="1" w:name="_Toc3"/><w:r><w:t>Details</w:t></w:r><w:bookmarkEnd w:id="1"/></w:p><w:p><w:pPr><w:pStyle w:val="Heading2"/></w:pPr><w:bookmarkStart w:id="2" w:name="_Toc4"/><w:r><w:t>Year</w:t></w:r><w:bookmarkEnd w:id="2"/></w:p><w:p><w:pPr/><w:r><w:rPr/><w:t xml:space="preserve">Not reported</w:t></w:r></w:p><w:p><w:pPr><w:pStyle w:val="Heading2"/></w:pPr><w:bookmarkStart w:id="3" w:name="_Toc5"/><w:r><w:t>Scope</w:t></w:r><w:bookmarkEnd w:id="3"/></w:p><w:p><w:pPr/><w:r><w:rPr/><w:t xml:space="preserve">Local</w:t></w:r></w:p><w:p><w:pPr><w:pStyle w:val="Heading2"/></w:pPr><w:bookmarkStart w:id="4" w:name="_Toc6"/><w:r><w:t>Countries</w:t></w:r><w:bookmarkEnd w:id="4"/></w:p><w:p><w:pPr/><w:r><w:rPr/><w:t xml:space="preserve">Serbia</w:t></w:r></w:p><w:p><w:pPr><w:pStyle w:val="Heading2"/></w:pPr><w:bookmarkStart w:id="5" w:name="_Toc7"/><w:r><w:t>Type</w:t></w:r><w:bookmarkEnd w:id="5"/></w:p><w:p><w:pPr/><w:r><w:rPr/><w:t xml:space="preserve">Empirical research – Quantitative</w:t></w:r></w:p><w:p><w:pPr><w:pStyle w:val="Heading2"/></w:pPr><w:bookmarkStart w:id="6" w:name="_Toc8"/><w:r><w:t>Methodologies</w:t></w:r><w:bookmarkEnd w:id="6"/></w:p><w:p><w:pPr/><w:r><w:rPr/><w:t xml:space="preserve">Survey</w:t></w:r></w:p><w:p><w:pPr><w:pStyle w:val="Heading2"/></w:pPr><w:bookmarkStart w:id="7" w:name="_Toc9"/><w:r><w:t>Researched Groups</w:t></w:r><w:bookmarkEnd w:id="7"/></w:p><w:p><w:pPr/><w:r><w:rPr/><w:t xml:space="preserve">Children</w:t></w:r></w:p><w:p><w:pPr><w:pStyle w:val="Heading2"/></w:pPr><w:bookmarkStart w:id="8" w:name="_Toc10"/><w:r><w:t>Children Ages</w:t></w:r><w:bookmarkEnd w:id="8"/></w:p><w:p><w:pPr/><w:r><w:rPr/><w:t xml:space="preserve">Other</w:t></w:r></w:p><w:p><w:pPr><w:pStyle w:val="Heading2"/></w:pPr><w:bookmarkStart w:id="9" w:name="_Toc11"/><w:r><w:t>Other Childrens Age Group</w:t></w:r><w:bookmarkEnd w:id="9"/></w:p><w:p><w:pPr/><w:r><w:rPr/><w:t xml:space="preserve">14-19 years old</w:t></w:r></w:p><w:p><w:pPr><w:pStyle w:val="Heading2"/></w:pPr><w:bookmarkStart w:id="10" w:name="_Toc12"/><w:r><w:t>Funder</w:t></w:r><w:bookmarkEnd w:id="10"/></w:p><w:p><w:pPr/><w:r><w:rPr/><w:t xml:space="preserve">Ministry of Education, Science and Technological Development of the Republic of Serbia</w:t></w:r></w:p><w:p><w:pPr><w:pStyle w:val="Heading2"/></w:pPr><w:bookmarkStart w:id="11" w:name="_Toc13"/><w:r><w:t>Funder Types</w:t></w:r><w:bookmarkEnd w:id="11"/></w:p><w:p><w:pPr/><w:r><w:rPr/><w:t xml:space="preserve">National Government / Ministry</w:t></w:r></w:p><w:p><w:pPr><w:pStyle w:val="Heading2"/></w:pPr><w:bookmarkStart w:id="12" w:name="_Toc14"/><w:r><w:t>Ethics</w:t></w:r><w:bookmarkEnd w:id="12"/></w:p><w:p><w:pPr/><w:r><w:rPr/><w:t xml:space="preserve">Ethical considerations not mentioned</w:t></w:r></w:p><w:p><w:pPr><w:pStyle w:val="Heading1"/></w:pPr><w:bookmarkStart w:id="13" w:name="_Toc15"/><w:r><w:t>Goals</w:t></w:r><w:bookmarkEnd w:id="13"/></w:p><w:p><w:pPr/><w:r><w:rPr/><w:t xml:space="preserve">"The aim of this paper is to determine the effectiveness and frequency of using restrictive strategies in parental control over a child’s online activities. ." (Matović & Zunić Pavlović, 2020, p. 55)</w:t></w:r></w:p><w:sectPr><w:headerReference w:type="default" r:id="rId7"/><w:footerReference w:type="default" r:id="rId8"/><w:pgSz w:orient="portrait" w:w="11905.511811023622" w:h="16837.79527559055"/><w:pgMar w:top="1440" w:right="1440" w:bottom="1440" w:left="144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leftRight"/>
    </w:pPr>
    <w:r>
      <w:rPr/>
      <w:t xml:space="preserve">CO:RE Evidence Base	Downloaded on 17 May 2024</w:t>
    </w:r>
  </w:p>
  <w:p>
    <w:pPr/>
    <w:r>
      <w:rPr/>
      <w:t xml:space="preserve">Study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Title">
    <w:link w:val="titleChar"/>
    <w:name w:val="title"/>
    <w:basedOn w:val="Normal"/>
    <w:pPr>
      <w:spacing w:after="400"/>
    </w:pPr>
    <w:rPr>
      <w:sz w:val="32"/>
      <w:szCs w:val="32"/>
      <w:b w:val="1"/>
      <w:bCs w:val="1"/>
    </w:rPr>
  </w:style>
  <w:style w:type="paragraph" w:styleId="Heading1">
    <w:link w:val="Heading1Char"/>
    <w:name w:val="heading 1"/>
    <w:basedOn w:val="Normal"/>
    <w:pPr>
      <w:spacing w:before="480"/>
    </w:pPr>
    <w:rPr>
      <w:sz w:val="24"/>
      <w:szCs w:val="24"/>
      <w:b w:val="1"/>
      <w:bCs w:val="1"/>
    </w:rPr>
  </w:style>
  <w:style w:type="paragraph" w:styleId="Heading2">
    <w:link w:val="Heading2Char"/>
    <w:name w:val="heading 2"/>
    <w:basedOn w:val="Normal"/>
    <w:pPr>
      <w:spacing w:before="200"/>
    </w:pPr>
    <w:rPr>
      <w:sz w:val="20"/>
      <w:szCs w:val="20"/>
      <w:b w:val="1"/>
      <w:bCs w:val="1"/>
    </w:rPr>
  </w:style>
  <w:style w:type="paragraph" w:customStyle="1" w:styleId="leftRight">
    <w:name w:val="leftRight"/>
    <w:basedOn w:val="Normal"/>
    <w:pPr>
      <w:tabs>
        <w:tab w:val="right" w:leader="none" w:pos="9025.51181102362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2024-05-17T07:34:39+00:00</dcterms:created>
  <dcterms:modified xsi:type="dcterms:W3CDTF">2024-05-17T07:34:39+00:00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