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INVALSI 2011/12</w:t></w:r></w:p><w:p><w:pPr><w:pStyle w:val="Heading1"/></w:pPr><w:bookmarkStart w:id="1" w:name="_Toc2"/><w:r><w:t>Details</w:t></w:r><w:bookmarkEnd w:id="1"/></w:p><w:p><w:pPr><w:pStyle w:val="Heading2"/></w:pPr><w:bookmarkStart w:id="2" w:name="_Toc3"/><w:r><w:t>Year</w:t></w:r><w:bookmarkEnd w:id="2"/></w:p><w:p><w:pPr/><w:r><w:rPr/><w:t xml:space="preserve">2012</w:t></w:r></w:p><w:p><w:pPr><w:pStyle w:val="Heading2"/></w:pPr><w:bookmarkStart w:id="3" w:name="_Toc4"/><w:r><w:t>Scope</w:t></w:r><w:bookmarkEnd w:id="3"/></w:p><w:p><w:pPr/><w:r><w:rPr/><w:t xml:space="preserve">National</w:t></w:r></w:p><w:p><w:pPr><w:pStyle w:val="Heading2"/></w:pPr><w:bookmarkStart w:id="4" w:name="_Toc5"/><w:r><w:t>Countries</w:t></w:r><w:bookmarkEnd w:id="4"/></w:p><w:p><w:pPr/><w:r><w:rPr/><w:t xml:space="preserve">Italy</w:t></w:r></w:p><w:p><w:pPr><w:pStyle w:val="Heading2"/></w:pPr><w:bookmarkStart w:id="5" w:name="_Toc6"/><w:r><w:t>Type</w:t></w:r><w:bookmarkEnd w:id="5"/></w:p><w:p><w:pPr/><w:r><w:rPr/><w:t xml:space="preserve">Empirical research – Quantitative</w:t></w:r></w:p><w:p><w:pPr><w:pStyle w:val="Heading2"/></w:pPr><w:bookmarkStart w:id="6" w:name="_Toc7"/><w:r><w:t>Methodologies</w:t></w:r><w:bookmarkEnd w:id="6"/></w:p><w:p><w:pPr><w:pStyle w:val="Heading2"/></w:pPr><w:bookmarkStart w:id="7" w:name="_Toc8"/><w:r><w:t>Other Methodology</w:t></w:r><w:bookmarkEnd w:id="7"/></w:p><w:p><w:pPr/><w:r><w:rPr/><w:t xml:space="preserve">Test</w:t></w:r></w:p><w:p><w:pPr><w:pStyle w:val="Heading2"/></w:pPr><w:bookmarkStart w:id="8" w:name="_Toc9"/><w:r><w:t>Researched Groups</w:t></w:r><w:bookmarkEnd w:id="8"/></w:p><w:p><w:pPr/><w:r><w:rPr/><w:t xml:space="preserve">Children</w:t></w:r></w:p><w:p><w:pPr><w:pStyle w:val="Heading2"/></w:pPr><w:bookmarkStart w:id="9" w:name="_Toc10"/><w:r><w:t>Children Ages</w:t></w:r><w:bookmarkEnd w:id="9"/></w:p><w:p><w:pPr><w:numPr><w:ilvl w:val="0"/><w:numId w:val="5"/></w:numPr></w:pPr><w:r><w:rPr/><w:t xml:space="preserve">Kids (6-10 Years old)</w:t></w:r></w:p><w:p><w:pPr><w:numPr><w:ilvl w:val="0"/><w:numId w:val="5"/></w:numPr></w:pPr><w:r><w:rPr/><w:t xml:space="preserve">Pre-adolescents (11-13 Years old)</w:t></w:r></w:p><w:p><w:pPr><w:numPr><w:ilvl w:val="0"/><w:numId w:val="5"/></w:numPr></w:pPr><w:r><w:rPr/><w:t xml:space="preserve">Adolescents (14-18 Years old)</w:t></w:r></w:p><w:p><w:pPr><w:pStyle w:val="Heading2"/></w:pPr><w:bookmarkStart w:id="10" w:name="_Toc11"/><w:r><w:t>Funder Types</w:t></w:r><w:bookmarkEnd w:id="10"/></w:p><w:p><w:pPr/><w:r><w:rPr/><w:t xml:space="preserve">National Government / Ministry</w:t></w:r></w:p><w:p><w:pPr><w:pStyle w:val="Heading2"/></w:pPr><w:bookmarkStart w:id="11" w:name="_Toc12"/><w:r><w:t>URL</w:t></w:r><w:bookmarkEnd w:id="11"/></w:p><w:p><w:pPr/><w:r><w:rPr/><w:t xml:space="preserve">https://invalsi-areaprove.cineca.it/index.php?get=static&pag=home_rn</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"The National Institute for the Evaluation of the Educational System of Education and Training (INVALSI), as part of the implementation of its activities carries out national surveys on students' learning in Italian, mathematics and English in accordance with the National Indications for the curriculum, the Guidelines, the Regulations and the Common European Framework of Reference for Languages. The learning surveys contribute to the process of self-evaluation of educational institutions and provide useful tools for the progressive improvement of the effectiveness of teaching." (Translated, retrieved from: https://invalsi-areaprove.cineca.it/index.php?get=static&pag=home_rn)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BA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2025-10-21T03:31:39+00:00</dcterms:created>
  <dcterms:modified xsi:type="dcterms:W3CDTF">2025-10-21T03:31:39+00:00</dcterms:modified>
</cp:coreProperties>
</file>

<file path=docProps/custom.xml><?xml version="1.0" encoding="utf-8"?>
<Properties xmlns="http://schemas.openxmlformats.org/officeDocument/2006/custom-properties" xmlns:vt="http://schemas.openxmlformats.org/officeDocument/2006/docPropsVTypes"/>
</file>