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Digital Well-being—Schools</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Scope</w:t>
      </w:r>
      <w:bookmarkEnd w:id="3"/>
    </w:p>
    <w:p>
      <w:pPr/>
      <w:r>
        <w:rPr/>
        <w:t xml:space="preserve">National</w:t>
      </w:r>
    </w:p>
    <w:p>
      <w:pPr>
        <w:pStyle w:val="Heading2"/>
      </w:pPr>
      <w:bookmarkStart w:id="4" w:name="_Toc5"/>
      <w:r>
        <w:t>Countries</w:t>
      </w:r>
      <w:bookmarkEnd w:id="4"/>
    </w:p>
    <w:p>
      <w:pPr/>
      <w:r>
        <w:rPr/>
        <w:t xml:space="preserve">Italy</w:t>
      </w:r>
    </w:p>
    <w:p>
      <w:pPr>
        <w:pStyle w:val="Heading2"/>
      </w:pPr>
      <w:bookmarkStart w:id="5" w:name="_Toc6"/>
      <w:r>
        <w:t>Type</w:t>
      </w:r>
      <w:bookmarkEnd w:id="5"/>
    </w:p>
    <w:p>
      <w:pPr/>
      <w:r>
        <w:rPr/>
        <w:t xml:space="preserve">Empirical research – Mixed methods</w:t>
      </w:r>
    </w:p>
    <w:p>
      <w:pPr>
        <w:pStyle w:val="Heading2"/>
      </w:pPr>
      <w:bookmarkStart w:id="6" w:name="_Toc7"/>
      <w:r>
        <w:t>Methodologies</w:t>
      </w:r>
      <w:bookmarkEnd w:id="6"/>
    </w:p>
    <w:p>
      <w:pPr/>
      <w:r>
        <w:rPr/>
        <w:t xml:space="preserve">Survey</w:t>
      </w:r>
    </w:p>
    <w:p>
      <w:pPr>
        <w:pStyle w:val="Heading2"/>
      </w:pPr>
      <w:bookmarkStart w:id="7" w:name="_Toc8"/>
      <w:r>
        <w:t>Researched Groups</w:t>
      </w:r>
      <w:bookmarkEnd w:id="7"/>
    </w:p>
    <w:p>
      <w:pPr/>
      <w:r>
        <w:rPr/>
        <w:t xml:space="preserve">Children</w:t>
      </w:r>
    </w:p>
    <w:p>
      <w:pPr>
        <w:pStyle w:val="Heading2"/>
      </w:pPr>
      <w:bookmarkStart w:id="8" w:name="_Toc9"/>
      <w:r>
        <w:t>Children Ages</w:t>
      </w:r>
      <w:bookmarkEnd w:id="8"/>
    </w:p>
    <w:p>
      <w:pPr/>
      <w:r>
        <w:rPr/>
        <w:t xml:space="preserve">Adolescents (14-18 Years old)</w:t>
      </w:r>
    </w:p>
    <w:p>
      <w:pPr>
        <w:pStyle w:val="Heading2"/>
      </w:pPr>
      <w:bookmarkStart w:id="9" w:name="_Toc10"/>
      <w:r>
        <w:t>Funder</w:t>
      </w:r>
      <w:bookmarkEnd w:id="9"/>
    </w:p>
    <w:p>
      <w:pPr/>
      <w:r>
        <w:rPr/>
        <w:t xml:space="preserve">University of Milano-Bicocca; Fastweb</w:t>
      </w:r>
    </w:p>
    <w:p>
      <w:pPr>
        <w:pStyle w:val="Heading2"/>
      </w:pPr>
      <w:bookmarkStart w:id="10" w:name="_Toc11"/>
      <w:r>
        <w:t>Funder Types</w:t>
      </w:r>
      <w:bookmarkEnd w:id="10"/>
    </w:p>
    <w:p>
      <w:pPr>
        <w:pStyle w:val="Heading2"/>
      </w:pPr>
      <w:bookmarkStart w:id="11" w:name="_Toc12"/>
      <w:r>
        <w:t>Informed Consent</w:t>
      </w:r>
      <w:bookmarkEnd w:id="11"/>
    </w:p>
    <w:p>
      <w:pPr/>
      <w:r>
        <w:rPr/>
        <w:t xml:space="preserve">Consent not mentioned</w:t>
      </w:r>
    </w:p>
    <w:p>
      <w:pPr>
        <w:pStyle w:val="Heading2"/>
      </w:pPr>
      <w:bookmarkStart w:id="12" w:name="_Toc13"/>
      <w:r>
        <w:t>Ethics</w:t>
      </w:r>
      <w:bookmarkEnd w:id="12"/>
    </w:p>
    <w:p>
      <w:pPr/>
      <w:r>
        <w:rPr/>
        <w:t xml:space="preserve">Ethical considerations not mentioned</w:t>
      </w:r>
    </w:p>
    <w:p>
      <w:pPr>
        <w:pStyle w:val="Heading2"/>
      </w:pPr>
      <w:bookmarkStart w:id="13" w:name="_Toc14"/>
      <w:r>
        <w:t>URL</w:t>
      </w:r>
      <w:bookmarkEnd w:id="13"/>
    </w:p>
    <w:p>
      <w:pPr/>
      <w:r>
        <w:rPr/>
        <w:t xml:space="preserve">https://www.digitalwellbeing.eu/digital-wellbeing-schools/</w:t>
      </w:r>
    </w:p>
    <w:p>
      <w:pPr>
        <w:pStyle w:val="Heading2"/>
      </w:pPr>
      <w:bookmarkStart w:id="14" w:name="_Toc15"/>
      <w:r>
        <w:t>Data Set Availability</w:t>
      </w:r>
      <w:bookmarkEnd w:id="14"/>
    </w:p>
    <w:p>
      <w:pPr/>
      <w:r>
        <w:rPr/>
        <w:t xml:space="preserve">Not mentioned</w:t>
      </w:r>
    </w:p>
    <w:p>
      <w:pPr>
        <w:pStyle w:val="Heading1"/>
      </w:pPr>
      <w:bookmarkStart w:id="15" w:name="_Toc16"/>
      <w:r>
        <w:t>Goals</w:t>
      </w:r>
      <w:bookmarkEnd w:id="15"/>
    </w:p>
    <w:p>
      <w:pPr/>
      <w:r>
        <w:rPr/>
        <w:t xml:space="preserve">The Digital Well-being – Schools project carried out the first randomised trial in Italy on the efficacy of media education. The impact of a systematic media education course was tested in a sample of randomly selected classes, compared with a control sample.
The “Digital Well-being” project is the product of research work carried out by a research group in the department of Sociology and Social Research at the University of Milano– Bicocca. The project was developed and completed thanks to being selected in the “Innovation Project Grant” tender held by the University.</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20 May 2024</w:t>
    </w:r>
  </w:p>
  <w:p>
    <w:pPr/>
    <w:r>
      <w:rPr/>
      <w:t xml:space="preserve">Study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2024-05-20T08:13:29+00:00</dcterms:created>
  <dcterms:modified xsi:type="dcterms:W3CDTF">2024-05-20T08:13:29+00:00</dcterms:modified>
</cp:coreProperties>
</file>

<file path=docProps/custom.xml><?xml version="1.0" encoding="utf-8"?>
<Properties xmlns="http://schemas.openxmlformats.org/officeDocument/2006/custom-properties" xmlns:vt="http://schemas.openxmlformats.org/officeDocument/2006/docPropsVTypes"/>
</file>