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Title"/></w:pPr><w:r><w:t>e-Engagement     against     Violence</w:t></w:r></w:p><w:p><w:pPr><w:pStyle w:val="Heading1"/></w:pPr><w:bookmarkStart w:id="1" w:name="_Toc2"/><w:r><w:t>Details</w:t></w:r><w:bookmarkEnd w:id="1"/></w:p><w:p><w:pPr><w:pStyle w:val="Heading2"/></w:pPr><w:bookmarkStart w:id="2" w:name="_Toc3"/><w:r><w:t>Year</w:t></w:r><w:bookmarkEnd w:id="2"/></w:p><w:p><w:pPr/><w:r><w:rPr/><w:t xml:space="preserve">2014</w:t></w:r></w:p><w:p><w:pPr><w:pStyle w:val="Heading2"/></w:pPr><w:bookmarkStart w:id="3" w:name="_Toc4"/><w:r><w:t>Scope</w:t></w:r><w:bookmarkEnd w:id="3"/></w:p><w:p><w:pPr/><w:r><w:rPr/><w:t xml:space="preserve">Multinational</w:t></w:r></w:p><w:p><w:pPr><w:pStyle w:val="Heading2"/></w:pPr><w:bookmarkStart w:id="4" w:name="_Toc5"/><w:r><w:t>Countries</w:t></w:r><w:bookmarkEnd w:id="4"/></w:p><w:p><w:pPr><w:numPr><w:ilvl w:val="0"/><w:numId w:val="5"/></w:numPr></w:pPr><w:r><w:rPr/><w:t xml:space="preserve">Austria</w:t></w:r></w:p><w:p><w:pPr><w:numPr><w:ilvl w:val="0"/><w:numId w:val="5"/></w:numPr></w:pPr><w:r><w:rPr/><w:t xml:space="preserve">Belgium</w:t></w:r></w:p><w:p><w:pPr><w:numPr><w:ilvl w:val="0"/><w:numId w:val="5"/></w:numPr></w:pPr><w:r><w:rPr/><w:t xml:space="preserve">Bulgaria</w:t></w:r></w:p><w:p><w:pPr><w:numPr><w:ilvl w:val="0"/><w:numId w:val="5"/></w:numPr></w:pPr><w:r><w:rPr/><w:t xml:space="preserve">France</w:t></w:r></w:p><w:p><w:pPr><w:numPr><w:ilvl w:val="0"/><w:numId w:val="5"/></w:numPr></w:pPr><w:r><w:rPr/><w:t xml:space="preserve">Italy</w:t></w:r></w:p><w:p><w:pPr><w:numPr><w:ilvl w:val="0"/><w:numId w:val="5"/></w:numPr></w:pPr><w:r><w:rPr/><w:t xml:space="preserve">Slovenia</w:t></w:r></w:p><w:p><w:pPr><w:numPr><w:ilvl w:val="0"/><w:numId w:val="5"/></w:numPr></w:pPr><w:r><w:rPr/><w:t xml:space="preserve">United Kingdom</w:t></w:r></w:p><w:p><w:pPr><w:pStyle w:val="Heading2"/></w:pPr><w:bookmarkStart w:id="5" w:name="_Toc6"/><w:r><w:t>Type</w:t></w:r><w:bookmarkEnd w:id="5"/></w:p><w:p><w:pPr/><w:r><w:rPr/><w:t xml:space="preserve">Empirical research – Experiment/Intervention</w:t></w:r></w:p><w:p><w:pPr><w:pStyle w:val="Heading2"/></w:pPr><w:bookmarkStart w:id="6" w:name="_Toc7"/><w:r><w:t>Methodologies</w:t></w:r><w:bookmarkEnd w:id="6"/></w:p><w:p><w:pPr/><w:r><w:rPr/><w:t xml:space="preserve">Participatory</w:t></w:r></w:p><w:p><w:pPr><w:pStyle w:val="Heading2"/></w:pPr><w:bookmarkStart w:id="7" w:name="_Toc8"/><w:r><w:t>Researched Groups</w:t></w:r><w:bookmarkEnd w:id="7"/></w:p><w:p><w:pPr><w:pStyle w:val="Heading2"/></w:pPr><w:bookmarkStart w:id="8" w:name="_Toc9"/><w:r><w:t>Children Ages</w:t></w:r><w:bookmarkEnd w:id="8"/></w:p><w:p><w:pPr/><w:r><w:rPr/><w:t xml:space="preserve">Adolescents (14-18 Years old)</w:t></w:r></w:p><w:p><w:pPr><w:pStyle w:val="Heading2"/></w:pPr><w:bookmarkStart w:id="9" w:name="_Toc10"/><w:r><w:t>Funder</w:t></w:r><w:bookmarkEnd w:id="9"/></w:p><w:p><w:pPr/><w:r><w:rPr/><w:t xml:space="preserve">DAPHNE Program</w:t></w:r></w:p><w:p><w:pPr><w:pStyle w:val="Heading2"/></w:pPr><w:bookmarkStart w:id="10" w:name="_Toc11"/><w:r><w:t>Funder Types</w:t></w:r><w:bookmarkEnd w:id="10"/></w:p><w:p><w:pPr/><w:r><w:rPr/><w:t xml:space="preserve">European Union / Commission</w:t></w:r></w:p><w:p><w:pPr><w:pStyle w:val="Heading2"/></w:pPr><w:bookmarkStart w:id="11" w:name="_Toc12"/><w:r><w:t>Informed Consent</w:t></w:r><w:bookmarkEnd w:id="11"/></w:p><w:p><w:pPr/><w:r><w:rPr/><w:t xml:space="preserve">Consent not mentioned</w:t></w:r></w:p><w:p><w:pPr><w:pStyle w:val="Heading2"/></w:pPr><w:bookmarkStart w:id="12" w:name="_Toc13"/><w:r><w:t>URL</w:t></w:r><w:bookmarkEnd w:id="12"/></w:p><w:p><w:pPr/><w:r><w:rPr/><w:t xml:space="preserve">https://e-engagementagainstviolence.eu/index/</w:t></w:r></w:p><w:p><w:pPr><w:pStyle w:val="Heading2"/></w:pPr><w:bookmarkStart w:id="13" w:name="_Toc14"/><w:r><w:t>Data Set Availability</w:t></w:r><w:bookmarkEnd w:id="13"/></w:p><w:p><w:pPr/><w:r><w:rPr/><w:t xml:space="preserve">Not mentioned</w:t></w:r></w:p><w:p><w:pPr><w:pStyle w:val="Heading1"/></w:pPr><w:bookmarkStart w:id="14" w:name="_Toc15"/><w:r><w:t>Goals</w:t></w:r><w:bookmarkEnd w:id="14"/></w:p><w:p><w:pPr/><w:r><w:rPr/><w:t xml:space="preserve">"The overall aim of the project was to increase young people’s and teachers/educators’ awareness about contemporary forms of discrimination and on how digital media can be employed to foster or contrast discriminatory discourses."  (Fabbro & Ranieri, 2016, p.36)</w:t></w:r></w:p><w:sectPr><w:headerReference w:type="default" r:id="rId7"/><w:footerReference w:type="default" r:id="rId8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20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177F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2024-05-20T21:09:44+00:00</dcterms:created>
  <dcterms:modified xsi:type="dcterms:W3CDTF">2024-05-20T21:09:44+00:00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